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A2C" w:rsidRDefault="00220A2C" w:rsidP="001534E8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20A2C" w:rsidRDefault="00220A2C" w:rsidP="001534E8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20A2C" w:rsidRDefault="00220A2C" w:rsidP="001534E8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20A2C" w:rsidRDefault="00220A2C" w:rsidP="001534E8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20A2C" w:rsidRDefault="00220A2C" w:rsidP="001534E8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20A2C" w:rsidRDefault="00220A2C" w:rsidP="00220A2C">
      <w:pPr>
        <w:spacing w:before="38" w:after="0" w:line="274" w:lineRule="exac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534E8" w:rsidRPr="004F1EEF" w:rsidRDefault="001534E8" w:rsidP="001534E8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F1EE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АУДИТОРСЬКИЙ ВИСНОВОК</w:t>
      </w:r>
    </w:p>
    <w:p w:rsidR="001534E8" w:rsidRPr="004F1EEF" w:rsidRDefault="001534E8" w:rsidP="001534E8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F1EE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незалежного аудитора</w:t>
      </w:r>
    </w:p>
    <w:p w:rsidR="001534E8" w:rsidRPr="004F1EEF" w:rsidRDefault="001534E8" w:rsidP="001534E8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4F1EEF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фінансову звітність за 2012 рік</w:t>
      </w:r>
    </w:p>
    <w:p w:rsidR="001534E8" w:rsidRPr="004F1EEF" w:rsidRDefault="001534E8" w:rsidP="001534E8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F1EE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Товариства з обмеженою відповідальністю</w:t>
      </w:r>
    </w:p>
    <w:p w:rsidR="00220A2C" w:rsidRDefault="001534E8" w:rsidP="00220A2C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4F1EE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«Фінансова компанія «Фенікс»</w:t>
      </w:r>
    </w:p>
    <w:p w:rsidR="00220A2C" w:rsidRDefault="00220A2C" w:rsidP="00220A2C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20A2C" w:rsidRDefault="00220A2C" w:rsidP="00220A2C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20A2C" w:rsidRDefault="00220A2C" w:rsidP="00220A2C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20A2C" w:rsidRDefault="00220A2C" w:rsidP="00220A2C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20A2C" w:rsidRDefault="00220A2C" w:rsidP="00220A2C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20A2C" w:rsidRDefault="00220A2C" w:rsidP="00220A2C">
      <w:pPr>
        <w:spacing w:before="38" w:after="0" w:line="274" w:lineRule="exact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220A2C" w:rsidRPr="00220A2C" w:rsidRDefault="00220A2C" w:rsidP="00220A2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Надасться к</w:t>
      </w:r>
      <w:r w:rsidR="001534E8" w:rsidRPr="00220A2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ерівництву</w:t>
      </w:r>
    </w:p>
    <w:p w:rsidR="001534E8" w:rsidRPr="00220A2C" w:rsidRDefault="00220A2C" w:rsidP="00220A2C">
      <w:pPr>
        <w:pStyle w:val="a3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Т</w:t>
      </w:r>
      <w:r w:rsidR="001534E8" w:rsidRPr="00220A2C"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OB «ФК «Фенікс»</w:t>
      </w:r>
    </w:p>
    <w:p w:rsidR="001534E8" w:rsidRDefault="001534E8" w:rsidP="001534E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534E8" w:rsidRDefault="001534E8" w:rsidP="001534E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20A2C" w:rsidRDefault="00220A2C" w:rsidP="001534E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20A2C" w:rsidRPr="004F1EEF" w:rsidRDefault="00220A2C" w:rsidP="001534E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534E8" w:rsidRPr="00220A2C" w:rsidRDefault="001534E8" w:rsidP="001534E8">
      <w:pPr>
        <w:tabs>
          <w:tab w:val="left" w:pos="7589"/>
        </w:tabs>
        <w:spacing w:before="10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м. Львів</w:t>
      </w: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>27 березня 2012 р.</w:t>
      </w:r>
    </w:p>
    <w:p w:rsidR="001534E8" w:rsidRDefault="001534E8" w:rsidP="001534E8">
      <w:pPr>
        <w:spacing w:after="0" w:line="240" w:lineRule="exact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20A2C" w:rsidRDefault="00220A2C" w:rsidP="001534E8">
      <w:pPr>
        <w:spacing w:after="0" w:line="240" w:lineRule="exact"/>
        <w:ind w:firstLine="696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534E8" w:rsidRPr="001534E8" w:rsidRDefault="001534E8" w:rsidP="001534E8">
      <w:pPr>
        <w:spacing w:before="38" w:after="0" w:line="274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Згідно Договору № 5-13 від 04 березня 2013 р. між </w:t>
      </w:r>
      <w:r w:rsidRPr="001534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незалежною Аудиторською фірмою «НІКА-Аудит»,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та </w:t>
      </w:r>
      <w:r w:rsidRPr="001534E8">
        <w:rPr>
          <w:rFonts w:ascii="Times New Roman" w:eastAsia="Times New Roman" w:hAnsi="Times New Roman" w:cs="Times New Roman"/>
          <w:b/>
          <w:bCs/>
          <w:sz w:val="24"/>
          <w:szCs w:val="24"/>
          <w:lang w:val="de-DE" w:eastAsia="de-DE"/>
        </w:rPr>
        <w:t xml:space="preserve">TOB </w:t>
      </w:r>
      <w:r w:rsidRPr="001534E8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«ФК «Фенікс»,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надалі "КОМПАНІЯ", аудитором </w:t>
      </w:r>
      <w:proofErr w:type="spellStart"/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Озоряном</w:t>
      </w:r>
      <w:proofErr w:type="spellEnd"/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Володимиром Олександровичем,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Сертифікат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АПУ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серія А № 003519 від 25.06.1998 р. дійсний до 25.06.2013 р., Свідоцтво про внесення до реєстру аудиторів, які можуть проводити перевірки фінансових установ серія А № 001504 видане Національною комісією з регулювання ринку фінансових послуг від 14.08.2012 р.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дійсне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25.06.2017 р.,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Аудиторської фірми «НІКА-Аудит», яка здійснює свою діяльність на підставі Реєстру суб'єктів аудиторської діяльності № 003997, що ведеться Аудиторською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палатою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України,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Рішення від 31.05.2007 р. Свідоцтво дійсне до 31.05.2017 р., проведена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перевірка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достовірності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фінансової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звітності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Компанії станом на 31.12.2012 р.</w:t>
      </w:r>
    </w:p>
    <w:p w:rsidR="001534E8" w:rsidRPr="001534E8" w:rsidRDefault="001534E8" w:rsidP="001534E8">
      <w:pPr>
        <w:spacing w:after="0" w:line="240" w:lineRule="exact"/>
        <w:ind w:right="1766"/>
        <w:rPr>
          <w:rFonts w:ascii="Times New Roman" w:eastAsia="Times New Roman" w:hAnsi="Times New Roman" w:cs="Times New Roman"/>
          <w:sz w:val="24"/>
          <w:szCs w:val="24"/>
        </w:rPr>
      </w:pPr>
    </w:p>
    <w:p w:rsidR="001534E8" w:rsidRPr="001534E8" w:rsidRDefault="001534E8" w:rsidP="001C4F01">
      <w:pPr>
        <w:spacing w:before="24" w:after="0" w:line="274" w:lineRule="exact"/>
        <w:ind w:right="1766" w:firstLine="69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Місцезнаходження АФ «НІКА-Аудит»: м. Львів, вул. Миколайчука 10/45. </w:t>
      </w:r>
    </w:p>
    <w:p w:rsidR="001534E8" w:rsidRPr="001534E8" w:rsidRDefault="001534E8" w:rsidP="001C4F01">
      <w:pPr>
        <w:spacing w:before="24" w:after="0" w:line="274" w:lineRule="exact"/>
        <w:ind w:left="696" w:right="-38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Код ЄДРПОУ 35101565</w:t>
      </w:r>
    </w:p>
    <w:p w:rsidR="001534E8" w:rsidRPr="001534E8" w:rsidRDefault="001534E8" w:rsidP="001C4F01">
      <w:pPr>
        <w:spacing w:before="24" w:after="0" w:line="274" w:lineRule="exact"/>
        <w:ind w:right="1766" w:firstLine="696"/>
        <w:rPr>
          <w:rFonts w:ascii="Times New Roman" w:eastAsia="Times New Roman" w:hAnsi="Times New Roman" w:cs="Times New Roman"/>
          <w:sz w:val="24"/>
          <w:szCs w:val="24"/>
        </w:rPr>
      </w:pPr>
      <w:r w:rsidRPr="001534E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Телефон/факс - +38 (067) 704-44-84</w:t>
      </w:r>
    </w:p>
    <w:p w:rsidR="001534E8" w:rsidRPr="001534E8" w:rsidRDefault="001534E8" w:rsidP="001534E8">
      <w:pPr>
        <w:spacing w:after="0" w:line="240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4E8" w:rsidRPr="001C4F01" w:rsidRDefault="001534E8" w:rsidP="001534E8">
      <w:pPr>
        <w:spacing w:before="14" w:after="0" w:line="283" w:lineRule="exact"/>
        <w:ind w:firstLine="70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Перевірка проводилась в термін з 12.03.2013 р. по 27.03.2013 р. за адресою: м. Київ, вул. Солом’янська, 5.</w:t>
      </w:r>
    </w:p>
    <w:p w:rsidR="001534E8" w:rsidRPr="001C4F01" w:rsidRDefault="001534E8" w:rsidP="001534E8">
      <w:pPr>
        <w:spacing w:after="0" w:line="240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4E8" w:rsidRPr="001C4F01" w:rsidRDefault="001534E8" w:rsidP="001534E8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Основні відомості про Компанію наведено в додатку № 1 «Основні відомості про Компанію» до даного Висновку, який є його невід'ємною частиною.</w:t>
      </w:r>
    </w:p>
    <w:p w:rsidR="001534E8" w:rsidRPr="001C4F01" w:rsidRDefault="001534E8" w:rsidP="001534E8">
      <w:pPr>
        <w:spacing w:after="0" w:line="240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4E8" w:rsidRPr="001C4F01" w:rsidRDefault="001534E8" w:rsidP="001534E8">
      <w:pPr>
        <w:spacing w:before="24" w:after="0" w:line="274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Аудитор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провів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аудиторську перевірку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фінансових звітів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Компанії, що включають Баланс станом на 31.12.2012 р., Звіт про фінансові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результати за 2012 рік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Звіт про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рух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грошових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коштів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2012 рік, Звіт про власний капітал за 2012 рік, Примітки до річної фінансової звітності за 2012 рік, які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показують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зміни в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фінансовому стані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Компанії за період, що завершився 31.12.2012р.</w:t>
      </w:r>
    </w:p>
    <w:p w:rsidR="001534E8" w:rsidRPr="001C4F01" w:rsidRDefault="001534E8" w:rsidP="001534E8">
      <w:pPr>
        <w:spacing w:before="24" w:after="0" w:line="274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Default="001534E8" w:rsidP="00220A2C">
      <w:pPr>
        <w:spacing w:before="24" w:after="0" w:line="274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 xml:space="preserve">Управлінський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персонал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несе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відповідальність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 підготовку та достовірне представлення цих фінансових звітів у відповідності до Положень (Стандартів) бухгалтерського обліку. Відповідальність управлінського персоналу охоплює: розробку, впровадження та використання внутрішнього контролю стосовно підготовки та достовірного представлення фінансових звітів,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які не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містять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суттєвих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викривлень,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внаслідок шахрайства або помилки; вибір та застосування відповідної політики, а також облікових оцінок, які відповідають обставинам.</w:t>
      </w:r>
    </w:p>
    <w:p w:rsidR="00220A2C" w:rsidRPr="001C4F01" w:rsidRDefault="00220A2C" w:rsidP="00220A2C">
      <w:pPr>
        <w:spacing w:before="24" w:after="0" w:line="274" w:lineRule="exact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1C4F01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Аудитор несе відповідальність за висловлення думки щодо фінансових звітів Компанії на підставі аудиторської перевірки.</w:t>
      </w:r>
    </w:p>
    <w:p w:rsidR="001534E8" w:rsidRPr="001C4F01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1C4F01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4F0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Аудиторська перевірка була спланована і виконана з метою збору достовірних даних про те, що фінансові звіти Компанії не містять суттєвих помилок.</w:t>
      </w:r>
    </w:p>
    <w:p w:rsidR="001534E8" w:rsidRPr="001C4F01" w:rsidRDefault="001534E8" w:rsidP="001534E8">
      <w:pPr>
        <w:spacing w:after="0" w:line="240" w:lineRule="exact"/>
        <w:ind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Під час аудиторської перевірки зроблені дослідження шляхом тестування доказів, отриманих по даним синтетичного бухгалтерського обліку на обґрунтування сум та інформації, розкритих у фінансовій звітності Компанії. Також у перевірку входила оцінка використаних Компанією принципів бухгалтерського обліку та суттєвих облікових оцінок, здійснених управлінським персоналом, а також оцінка подання фінансової звітності в цілому.</w:t>
      </w: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Перевірка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інформації здійснювалась вибірково.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Під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час перевірки до уваги бралися тільки суттєві помилки. Аудитором межа суттєвості визнана на рівні 5,0 відсотки до валюти балансу Компанії.</w:t>
      </w: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Перевірка проводилась відповідно до Міжнародних стандартів аудиту 700, 701. 720, 800.</w:t>
      </w: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Аудитор в своїй діяльності керувався законодавством України у сфері господарської діяльності, встановленим порядком ведення бухгалтерського обліку і формування фінансової звітності, прийнятими в Україні Положеннями (стандартами) бухгалтерського обліку.</w:t>
      </w: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Аудиторський висновок формувався у відповідності до Положення про внесення інформації щодо фінансових компаній до Державного реєстру фінансових установ та встановлення вимог до облікової та реєструючої системи фінансових компаній затвердженого Розпорядженням Державної комісії з регулювання ринків фінансових послуг України № 152 від 05.12.2003 р.</w:t>
      </w: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Для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проведення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аудиту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були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використані облікові аналітичні реєстри з обліку банківських операцій, заробітної плати, розрахунково-кредитних операцій; регістри бухгалтерського обліку; оборотно-сальдові відомості; поточна звітність за 2012 рік.</w:t>
      </w: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Аудитор вважає, що проведена аудиторська перевірка дає обґрунтовану підставу для висловлення думки.</w:t>
      </w: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Аудитор вважає, що надана інформація дає, в цілому, дійсне і повне уявлення про реальність складу активів і пасивів балансу Компанії станом на 31.12.2012 p., а фінансові звіти сформовані у відповідності до прийнятої облікової політики та норм Національних положень 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</w:t>
      </w: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стан</w:t>
      </w:r>
      <w:r w:rsid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</w:t>
      </w: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артів) бухгалтерського обліку України.</w:t>
      </w: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220A2C" w:rsidRDefault="001534E8" w:rsidP="001534E8">
      <w:pPr>
        <w:spacing w:before="43" w:after="0" w:line="274" w:lineRule="exact"/>
        <w:ind w:firstLine="69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A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Аудитор вважає, що фінансова звітність Компанії представлена об'єктивно у всіх суттєвих аспектах, в цілому відповідає встановленим вимогам чинного законодавства України та реально відображає його фінансовий стан на 31.12.2012 р. по результатах операцій з 01.01.2012р. по 31.12.2012 р.</w:t>
      </w:r>
    </w:p>
    <w:p w:rsidR="001534E8" w:rsidRPr="009C1259" w:rsidRDefault="001534E8" w:rsidP="001534E8">
      <w:pPr>
        <w:spacing w:after="0" w:line="240" w:lineRule="exact"/>
        <w:ind w:firstLine="61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думку аудитора, Компанією, у відповідності до встановлених нормативів, зокрема до національних положень (стандартів) бухгалтерського обліку, в цілому достатньо розкрито інформацію за видами активів, зобов'язань та про власний капітал.</w:t>
      </w: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Вартість чистих активів Компанії станом на 31.12.2012 р. становить 8046 тис. грн. і відповідає вимогам ст. 144 Цивільного кодексу України.</w:t>
      </w: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Статутний капітал Компанії станом на 31.12.2012 р. сформований в повному обсязі та становить 8.000.000,00 (вісім мільйонів) гривень.</w:t>
      </w: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220A2C" w:rsidRDefault="001534E8" w:rsidP="00220A2C">
      <w:pPr>
        <w:spacing w:before="14" w:after="0" w:line="278" w:lineRule="exact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20A2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Обґрунтування думки аудитора наведено в Додатку № 2 «Розкриття інформації щодо окремих компонентів фінансової звітності» до даного Висновку, який є невід'ємною його частиною.</w:t>
      </w:r>
    </w:p>
    <w:p w:rsidR="001534E8" w:rsidRPr="00D271AD" w:rsidRDefault="001534E8" w:rsidP="001534E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534E8" w:rsidRPr="00D271AD" w:rsidRDefault="001534E8" w:rsidP="001534E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534E8" w:rsidRPr="00D271AD" w:rsidRDefault="001534E8" w:rsidP="001534E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1534E8" w:rsidRPr="00883E51" w:rsidRDefault="001534E8" w:rsidP="001534E8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5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Директор АФ «НІКА-Аудит»</w:t>
      </w:r>
    </w:p>
    <w:p w:rsidR="001534E8" w:rsidRPr="00883E51" w:rsidRDefault="001534E8" w:rsidP="001534E8">
      <w:pPr>
        <w:tabs>
          <w:tab w:val="left" w:pos="7234"/>
        </w:tabs>
        <w:spacing w:before="38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3E5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Аудитор, сертифікат АПУ «А» </w:t>
      </w:r>
      <w:r w:rsidRPr="00883E51">
        <w:rPr>
          <w:rFonts w:ascii="Times New Roman" w:eastAsia="Times New Roman" w:hAnsi="Times New Roman" w:cs="Times New Roman"/>
          <w:i/>
          <w:iCs/>
          <w:sz w:val="24"/>
          <w:szCs w:val="24"/>
        </w:rPr>
        <w:t>№003480</w:t>
      </w:r>
      <w:r w:rsidRPr="00883E51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</w:p>
    <w:p w:rsidR="001534E8" w:rsidRPr="00883E51" w:rsidRDefault="001534E8" w:rsidP="001534E8">
      <w:pPr>
        <w:tabs>
          <w:tab w:val="left" w:leader="hyphen" w:pos="33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83E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    Н. </w:t>
      </w:r>
      <w:r w:rsidRPr="00883E5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Семенова</w:t>
      </w:r>
    </w:p>
    <w:p w:rsidR="001534E8" w:rsidRPr="00883E51" w:rsidRDefault="001534E8" w:rsidP="001534E8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1534E8" w:rsidRPr="00883E51" w:rsidRDefault="001534E8" w:rsidP="001534E8">
      <w:pPr>
        <w:tabs>
          <w:tab w:val="left" w:pos="4675"/>
        </w:tabs>
        <w:spacing w:before="278" w:after="0" w:line="269" w:lineRule="exact"/>
        <w:rPr>
          <w:rFonts w:ascii="Arial" w:eastAsia="Arial" w:hAnsi="Arial" w:cs="Arial"/>
          <w:sz w:val="24"/>
          <w:szCs w:val="24"/>
        </w:rPr>
      </w:pPr>
      <w:r w:rsidRPr="00883E5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>Аудитор АФ «НІКА-Аудит»</w:t>
      </w:r>
      <w:r w:rsidRPr="00883E5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ab/>
      </w:r>
    </w:p>
    <w:p w:rsidR="00883E51" w:rsidRDefault="001534E8" w:rsidP="001534E8">
      <w:pPr>
        <w:tabs>
          <w:tab w:val="left" w:pos="6624"/>
        </w:tabs>
        <w:spacing w:after="0" w:line="269" w:lineRule="exact"/>
        <w:ind w:right="329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</w:pPr>
      <w:r w:rsidRPr="00883E5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Сертифікат АПУ «А» </w:t>
      </w:r>
      <w:r w:rsidRPr="00883E5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№ 003519, </w:t>
      </w:r>
      <w:r w:rsidR="00883E5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Свідоцтво про </w:t>
      </w:r>
    </w:p>
    <w:p w:rsidR="001534E8" w:rsidRPr="00883E51" w:rsidRDefault="001534E8" w:rsidP="001534E8">
      <w:pPr>
        <w:tabs>
          <w:tab w:val="left" w:pos="6624"/>
        </w:tabs>
        <w:spacing w:after="0" w:line="269" w:lineRule="exact"/>
        <w:ind w:right="329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E5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внесення до Реєстру аудиторів які можуть    </w:t>
      </w:r>
      <w:r w:rsidRPr="00883E51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</w:p>
    <w:p w:rsidR="001534E8" w:rsidRPr="00883E51" w:rsidRDefault="001534E8" w:rsidP="001534E8">
      <w:pPr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83E51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проводити аудиторські перевірки фінансових установ      </w:t>
      </w:r>
    </w:p>
    <w:p w:rsidR="00883E51" w:rsidRDefault="001534E8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  <w:r w:rsidRPr="00883E51"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</w:rPr>
        <w:t xml:space="preserve">№ 001504 </w:t>
      </w:r>
      <w:r w:rsidRPr="00883E51"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  <w:t xml:space="preserve">від </w:t>
      </w:r>
      <w:r w:rsidRPr="00883E51"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</w:rPr>
        <w:t xml:space="preserve">14.08.2012 </w:t>
      </w:r>
      <w:r w:rsidRPr="00883E51"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  <w:t>р.</w:t>
      </w:r>
      <w:r w:rsidR="00883E51"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  <w:t xml:space="preserve">                                                                                                    </w:t>
      </w:r>
      <w:r w:rsidR="00883E51" w:rsidRPr="00883E51">
        <w:rPr>
          <w:rFonts w:ascii="Times New Roman" w:eastAsia="Times New Roman" w:hAnsi="Times New Roman" w:cs="Times New Roman"/>
          <w:b/>
          <w:i/>
          <w:iCs/>
          <w:position w:val="12"/>
          <w:sz w:val="24"/>
          <w:szCs w:val="24"/>
          <w:lang w:val="uk-UA" w:eastAsia="uk-UA"/>
        </w:rPr>
        <w:t xml:space="preserve">В. </w:t>
      </w:r>
      <w:proofErr w:type="spellStart"/>
      <w:r w:rsidR="00883E51" w:rsidRPr="00883E51">
        <w:rPr>
          <w:rFonts w:ascii="Times New Roman" w:eastAsia="Times New Roman" w:hAnsi="Times New Roman" w:cs="Times New Roman"/>
          <w:b/>
          <w:i/>
          <w:iCs/>
          <w:position w:val="12"/>
          <w:sz w:val="24"/>
          <w:szCs w:val="24"/>
          <w:lang w:val="uk-UA" w:eastAsia="uk-UA"/>
        </w:rPr>
        <w:t>Озеран</w:t>
      </w:r>
      <w:proofErr w:type="spellEnd"/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883E51">
      <w:pPr>
        <w:tabs>
          <w:tab w:val="left" w:leader="hyphen" w:pos="3384"/>
        </w:tabs>
        <w:spacing w:after="0" w:line="240" w:lineRule="auto"/>
        <w:rPr>
          <w:rFonts w:ascii="Times New Roman" w:eastAsia="Times New Roman" w:hAnsi="Times New Roman" w:cs="Times New Roman"/>
          <w:i/>
          <w:iCs/>
          <w:position w:val="12"/>
          <w:sz w:val="24"/>
          <w:szCs w:val="24"/>
          <w:lang w:val="uk-UA" w:eastAsia="uk-UA"/>
        </w:rPr>
      </w:pPr>
    </w:p>
    <w:p w:rsidR="00883E51" w:rsidRDefault="00883E51" w:rsidP="001534E8">
      <w:pPr>
        <w:spacing w:after="0" w:line="240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  <w:r w:rsidRPr="001157D4">
        <w:rPr>
          <w:rFonts w:ascii="Times New Roman" w:eastAsia="Times New Roman" w:hAnsi="Times New Roman" w:cs="Times New Roman"/>
          <w:lang w:val="uk-UA" w:eastAsia="uk-UA"/>
        </w:rPr>
        <w:lastRenderedPageBreak/>
        <w:t>ДОДАТОК № 1</w:t>
      </w:r>
    </w:p>
    <w:p w:rsidR="00883E51" w:rsidRDefault="00883E51" w:rsidP="001534E8">
      <w:pPr>
        <w:spacing w:after="0" w:line="240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  <w:r w:rsidRPr="001157D4">
        <w:rPr>
          <w:rFonts w:ascii="Times New Roman" w:eastAsia="Times New Roman" w:hAnsi="Times New Roman" w:cs="Times New Roman"/>
          <w:lang w:val="uk-UA" w:eastAsia="uk-UA"/>
        </w:rPr>
        <w:t xml:space="preserve"> до Аудиторського Висновку </w:t>
      </w:r>
    </w:p>
    <w:p w:rsidR="001534E8" w:rsidRDefault="00883E51" w:rsidP="001534E8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157D4">
        <w:rPr>
          <w:rFonts w:ascii="Times New Roman" w:eastAsia="Times New Roman" w:hAnsi="Times New Roman" w:cs="Times New Roman"/>
          <w:lang w:val="uk-UA" w:eastAsia="uk-UA"/>
        </w:rPr>
        <w:t>від 27 березня 2013 року</w:t>
      </w:r>
    </w:p>
    <w:p w:rsidR="00883E51" w:rsidRDefault="00883E51" w:rsidP="00883E5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</w:pPr>
    </w:p>
    <w:p w:rsidR="00883E51" w:rsidRDefault="00883E51" w:rsidP="00883E5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</w:pPr>
    </w:p>
    <w:p w:rsidR="00883E51" w:rsidRDefault="00883E51" w:rsidP="00883E5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</w:pPr>
    </w:p>
    <w:p w:rsidR="00883E51" w:rsidRDefault="00883E51" w:rsidP="00883E5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</w:pPr>
    </w:p>
    <w:p w:rsidR="00883E51" w:rsidRDefault="00883E51" w:rsidP="00883E5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</w:pPr>
      <w:r w:rsidRPr="001157D4"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 xml:space="preserve">ОСНОВНІ ВІДОМОСТІ ПРО КОМПАНІЮ </w:t>
      </w:r>
    </w:p>
    <w:p w:rsidR="00883E51" w:rsidRDefault="00883E51" w:rsidP="00883E51">
      <w:pPr>
        <w:spacing w:after="0" w:line="240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 w:rsidRPr="001157D4">
        <w:rPr>
          <w:rFonts w:ascii="Times New Roman" w:eastAsia="Times New Roman" w:hAnsi="Times New Roman" w:cs="Times New Roman"/>
          <w:b/>
          <w:bCs/>
          <w:sz w:val="24"/>
          <w:lang w:val="uk-UA" w:eastAsia="uk-UA"/>
        </w:rPr>
        <w:t>станом на 31.12.2012 р.</w:t>
      </w:r>
    </w:p>
    <w:p w:rsidR="00883E51" w:rsidRDefault="00883E51" w:rsidP="001534E8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83E51" w:rsidRDefault="00883E51" w:rsidP="001534E8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534"/>
        <w:gridCol w:w="3643"/>
        <w:gridCol w:w="6421"/>
      </w:tblGrid>
      <w:tr w:rsidR="00883E51" w:rsidTr="00883E51">
        <w:tc>
          <w:tcPr>
            <w:tcW w:w="534" w:type="dxa"/>
          </w:tcPr>
          <w:p w:rsidR="00883E51" w:rsidRPr="00883E51" w:rsidRDefault="00883E51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</w:t>
            </w:r>
          </w:p>
        </w:tc>
        <w:tc>
          <w:tcPr>
            <w:tcW w:w="3643" w:type="dxa"/>
          </w:tcPr>
          <w:p w:rsidR="00883E51" w:rsidRPr="00883E51" w:rsidRDefault="00883E51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Найменування емітента</w:t>
            </w:r>
          </w:p>
        </w:tc>
        <w:tc>
          <w:tcPr>
            <w:tcW w:w="6421" w:type="dxa"/>
          </w:tcPr>
          <w:p w:rsidR="00883E51" w:rsidRPr="00883E51" w:rsidRDefault="00883E51" w:rsidP="00883E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83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Товариство з обмеженою відповідальністю «Фінансова компанія «Фенікс»</w:t>
            </w:r>
          </w:p>
        </w:tc>
      </w:tr>
      <w:tr w:rsidR="00883E51" w:rsidTr="00883E51">
        <w:tc>
          <w:tcPr>
            <w:tcW w:w="534" w:type="dxa"/>
          </w:tcPr>
          <w:p w:rsidR="00883E51" w:rsidRPr="00883E51" w:rsidRDefault="00883E51" w:rsidP="00883E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3643" w:type="dxa"/>
          </w:tcPr>
          <w:p w:rsidR="00883E51" w:rsidRPr="00883E51" w:rsidRDefault="00883E51" w:rsidP="00883E5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3E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Код ЄДРПОУ</w:t>
            </w:r>
          </w:p>
        </w:tc>
        <w:tc>
          <w:tcPr>
            <w:tcW w:w="6421" w:type="dxa"/>
          </w:tcPr>
          <w:p w:rsidR="00883E51" w:rsidRPr="00883E51" w:rsidRDefault="00883E51" w:rsidP="00883E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35075436</w:t>
            </w:r>
          </w:p>
        </w:tc>
      </w:tr>
      <w:tr w:rsidR="00883E51" w:rsidTr="00883E51">
        <w:tc>
          <w:tcPr>
            <w:tcW w:w="534" w:type="dxa"/>
          </w:tcPr>
          <w:p w:rsidR="00883E51" w:rsidRPr="00F6132E" w:rsidRDefault="00F6132E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1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43" w:type="dxa"/>
          </w:tcPr>
          <w:p w:rsidR="00883E51" w:rsidRDefault="00883E51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Організаційно-правова форма</w:t>
            </w:r>
          </w:p>
        </w:tc>
        <w:tc>
          <w:tcPr>
            <w:tcW w:w="6421" w:type="dxa"/>
          </w:tcPr>
          <w:p w:rsidR="00883E51" w:rsidRDefault="00883E51" w:rsidP="00883E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Товариство з обмеженою відповідальністю</w:t>
            </w:r>
          </w:p>
        </w:tc>
      </w:tr>
      <w:tr w:rsidR="00883E51" w:rsidTr="00883E51">
        <w:tc>
          <w:tcPr>
            <w:tcW w:w="534" w:type="dxa"/>
          </w:tcPr>
          <w:p w:rsidR="00883E51" w:rsidRPr="00F6132E" w:rsidRDefault="00F6132E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1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43" w:type="dxa"/>
          </w:tcPr>
          <w:p w:rsidR="00883E51" w:rsidRDefault="00883E51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Витяг з єдиного державного реєстру юридичних осіб та фізичних осіб - підприємців</w:t>
            </w:r>
          </w:p>
        </w:tc>
        <w:tc>
          <w:tcPr>
            <w:tcW w:w="6421" w:type="dxa"/>
          </w:tcPr>
          <w:p w:rsidR="00883E51" w:rsidRDefault="00883E51" w:rsidP="00883E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Серія </w:t>
            </w:r>
            <w:r w:rsidRPr="001157D4">
              <w:rPr>
                <w:rFonts w:ascii="Times New Roman" w:eastAsia="Times New Roman" w:hAnsi="Times New Roman" w:cs="Times New Roman"/>
                <w:spacing w:val="30"/>
                <w:lang w:val="uk-UA" w:eastAsia="uk-UA"/>
              </w:rPr>
              <w:t>АВ№</w:t>
            </w: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253572</w:t>
            </w:r>
          </w:p>
        </w:tc>
      </w:tr>
      <w:tr w:rsidR="00883E51" w:rsidTr="00883E51">
        <w:tc>
          <w:tcPr>
            <w:tcW w:w="534" w:type="dxa"/>
          </w:tcPr>
          <w:p w:rsidR="00883E51" w:rsidRPr="00F6132E" w:rsidRDefault="00F6132E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1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43" w:type="dxa"/>
          </w:tcPr>
          <w:p w:rsidR="00883E51" w:rsidRDefault="00883E51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Орган, що видав свідоцтво</w:t>
            </w:r>
          </w:p>
        </w:tc>
        <w:tc>
          <w:tcPr>
            <w:tcW w:w="6421" w:type="dxa"/>
          </w:tcPr>
          <w:p w:rsidR="00883E51" w:rsidRPr="001157D4" w:rsidRDefault="00883E51" w:rsidP="00883E5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Солом'янська районна у м. Києві державна</w:t>
            </w:r>
          </w:p>
          <w:p w:rsidR="00883E51" w:rsidRDefault="00883E51" w:rsidP="00883E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адміністрація</w:t>
            </w:r>
          </w:p>
        </w:tc>
      </w:tr>
      <w:tr w:rsidR="00883E51" w:rsidTr="00883E51">
        <w:tc>
          <w:tcPr>
            <w:tcW w:w="534" w:type="dxa"/>
          </w:tcPr>
          <w:p w:rsidR="00883E51" w:rsidRPr="00F6132E" w:rsidRDefault="00F6132E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1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643" w:type="dxa"/>
          </w:tcPr>
          <w:p w:rsidR="00883E51" w:rsidRPr="001157D4" w:rsidRDefault="00883E51" w:rsidP="00F6132E">
            <w:pPr>
              <w:spacing w:line="264" w:lineRule="exact"/>
              <w:ind w:right="1421" w:firstLine="10"/>
              <w:rPr>
                <w:rFonts w:ascii="Times New Roman" w:eastAsia="Times New Roman" w:hAnsi="Times New Roman" w:cs="Times New Roman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Юридична адреса та місцезнаходження</w:t>
            </w:r>
          </w:p>
        </w:tc>
        <w:tc>
          <w:tcPr>
            <w:tcW w:w="6421" w:type="dxa"/>
          </w:tcPr>
          <w:p w:rsidR="00883E51" w:rsidRDefault="00883E51" w:rsidP="00883E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м. Київ. вул. Солом'янська, 5</w:t>
            </w:r>
          </w:p>
        </w:tc>
      </w:tr>
      <w:tr w:rsidR="00883E51" w:rsidTr="00883E51">
        <w:tc>
          <w:tcPr>
            <w:tcW w:w="534" w:type="dxa"/>
          </w:tcPr>
          <w:p w:rsidR="00883E51" w:rsidRPr="00F6132E" w:rsidRDefault="00F6132E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1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643" w:type="dxa"/>
          </w:tcPr>
          <w:p w:rsidR="00883E51" w:rsidRDefault="00883E51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Телефон</w:t>
            </w:r>
          </w:p>
        </w:tc>
        <w:tc>
          <w:tcPr>
            <w:tcW w:w="6421" w:type="dxa"/>
          </w:tcPr>
          <w:p w:rsidR="00883E51" w:rsidRDefault="00883E51" w:rsidP="00F6132E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(044) 377-74-55</w:t>
            </w:r>
          </w:p>
        </w:tc>
      </w:tr>
      <w:tr w:rsidR="00883E51" w:rsidTr="00883E51">
        <w:tc>
          <w:tcPr>
            <w:tcW w:w="534" w:type="dxa"/>
          </w:tcPr>
          <w:p w:rsidR="00883E51" w:rsidRPr="00F6132E" w:rsidRDefault="00F6132E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1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3643" w:type="dxa"/>
          </w:tcPr>
          <w:p w:rsidR="00883E51" w:rsidRDefault="00883E51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Розрахунковий рахунок</w:t>
            </w:r>
          </w:p>
        </w:tc>
        <w:tc>
          <w:tcPr>
            <w:tcW w:w="6421" w:type="dxa"/>
          </w:tcPr>
          <w:p w:rsidR="00883E51" w:rsidRDefault="00883E51" w:rsidP="00883E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26506201360896</w:t>
            </w:r>
          </w:p>
        </w:tc>
      </w:tr>
      <w:tr w:rsidR="00883E51" w:rsidTr="00883E51">
        <w:tc>
          <w:tcPr>
            <w:tcW w:w="534" w:type="dxa"/>
          </w:tcPr>
          <w:p w:rsidR="00883E51" w:rsidRPr="00F6132E" w:rsidRDefault="00F6132E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1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3643" w:type="dxa"/>
          </w:tcPr>
          <w:p w:rsidR="00883E51" w:rsidRDefault="00883E51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МФО</w:t>
            </w:r>
          </w:p>
        </w:tc>
        <w:tc>
          <w:tcPr>
            <w:tcW w:w="6421" w:type="dxa"/>
          </w:tcPr>
          <w:p w:rsidR="00883E51" w:rsidRPr="001157D4" w:rsidRDefault="00883E51" w:rsidP="00883E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300528</w:t>
            </w:r>
          </w:p>
        </w:tc>
      </w:tr>
      <w:tr w:rsidR="00883E51" w:rsidTr="00883E51">
        <w:tc>
          <w:tcPr>
            <w:tcW w:w="534" w:type="dxa"/>
          </w:tcPr>
          <w:p w:rsidR="00883E51" w:rsidRPr="00F6132E" w:rsidRDefault="00F6132E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1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3643" w:type="dxa"/>
          </w:tcPr>
          <w:p w:rsidR="00883E51" w:rsidRDefault="00883E51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Назва банку</w:t>
            </w:r>
          </w:p>
        </w:tc>
        <w:tc>
          <w:tcPr>
            <w:tcW w:w="6421" w:type="dxa"/>
          </w:tcPr>
          <w:p w:rsidR="00883E51" w:rsidRPr="001157D4" w:rsidRDefault="00883E51" w:rsidP="00883E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АТ «ОТП Банк»</w:t>
            </w:r>
          </w:p>
        </w:tc>
      </w:tr>
      <w:tr w:rsidR="00883E51" w:rsidTr="00883E51">
        <w:tc>
          <w:tcPr>
            <w:tcW w:w="534" w:type="dxa"/>
          </w:tcPr>
          <w:p w:rsidR="00883E51" w:rsidRPr="00F6132E" w:rsidRDefault="00F6132E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1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3643" w:type="dxa"/>
          </w:tcPr>
          <w:p w:rsidR="00883E51" w:rsidRDefault="00883E51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Основні види діяльності</w:t>
            </w:r>
          </w:p>
        </w:tc>
        <w:tc>
          <w:tcPr>
            <w:tcW w:w="6421" w:type="dxa"/>
          </w:tcPr>
          <w:p w:rsidR="00883E51" w:rsidRPr="001157D4" w:rsidRDefault="00883E51" w:rsidP="00883E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64.99 Надання інших фінансових послуг</w:t>
            </w:r>
          </w:p>
        </w:tc>
      </w:tr>
      <w:tr w:rsidR="00883E51" w:rsidTr="00883E51">
        <w:tc>
          <w:tcPr>
            <w:tcW w:w="534" w:type="dxa"/>
          </w:tcPr>
          <w:p w:rsidR="00883E51" w:rsidRPr="00F6132E" w:rsidRDefault="00F6132E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1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3643" w:type="dxa"/>
          </w:tcPr>
          <w:p w:rsidR="00883E51" w:rsidRDefault="00883E51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Чисельність працівників</w:t>
            </w:r>
          </w:p>
        </w:tc>
        <w:tc>
          <w:tcPr>
            <w:tcW w:w="6421" w:type="dxa"/>
          </w:tcPr>
          <w:p w:rsidR="00883E51" w:rsidRPr="001157D4" w:rsidRDefault="00883E51" w:rsidP="00883E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2</w:t>
            </w:r>
          </w:p>
        </w:tc>
      </w:tr>
      <w:tr w:rsidR="00883E51" w:rsidTr="00883E51">
        <w:tc>
          <w:tcPr>
            <w:tcW w:w="534" w:type="dxa"/>
          </w:tcPr>
          <w:p w:rsidR="00883E51" w:rsidRPr="00F6132E" w:rsidRDefault="00F6132E" w:rsidP="00883E51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613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3643" w:type="dxa"/>
          </w:tcPr>
          <w:p w:rsidR="00883E51" w:rsidRPr="001157D4" w:rsidRDefault="00883E51" w:rsidP="00080520">
            <w:pPr>
              <w:rPr>
                <w:rFonts w:ascii="Times New Roman" w:eastAsia="Times New Roman" w:hAnsi="Times New Roman" w:cs="Times New Roman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Наявні ліцензії</w:t>
            </w:r>
          </w:p>
        </w:tc>
        <w:tc>
          <w:tcPr>
            <w:tcW w:w="6421" w:type="dxa"/>
          </w:tcPr>
          <w:p w:rsidR="00F6132E" w:rsidRDefault="00883E51" w:rsidP="00883E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en-US" w:eastAsia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 xml:space="preserve">Серія АВ № 518406 на здійснення переказу коштів небанківськими фінансовими установами </w:t>
            </w:r>
          </w:p>
          <w:p w:rsidR="00883E51" w:rsidRPr="001157D4" w:rsidRDefault="00883E51" w:rsidP="00883E51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1157D4">
              <w:rPr>
                <w:rFonts w:ascii="Times New Roman" w:eastAsia="Times New Roman" w:hAnsi="Times New Roman" w:cs="Times New Roman"/>
                <w:lang w:val="uk-UA" w:eastAsia="uk-UA"/>
              </w:rPr>
              <w:t>Термін дії з 02.12.2010 р. по 02.12.2013 р</w:t>
            </w:r>
          </w:p>
        </w:tc>
      </w:tr>
    </w:tbl>
    <w:p w:rsidR="00883E51" w:rsidRPr="00883E51" w:rsidRDefault="00883E51" w:rsidP="001534E8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534E8" w:rsidRPr="00883E51" w:rsidRDefault="001534E8" w:rsidP="001534E8">
      <w:pPr>
        <w:spacing w:after="0" w:line="240" w:lineRule="exact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883E51" w:rsidRDefault="00883E51" w:rsidP="001534E8">
      <w:pPr>
        <w:spacing w:before="53" w:after="0" w:line="264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</w:p>
    <w:p w:rsidR="00F6132E" w:rsidRPr="00F6132E" w:rsidRDefault="001534E8" w:rsidP="00F6132E">
      <w:pPr>
        <w:spacing w:after="0" w:line="240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  <w:r w:rsidRPr="00FF5EC0">
        <w:rPr>
          <w:rFonts w:ascii="Times New Roman" w:eastAsia="Times New Roman" w:hAnsi="Times New Roman" w:cs="Times New Roman"/>
          <w:lang w:val="uk-UA" w:eastAsia="uk-UA"/>
        </w:rPr>
        <w:lastRenderedPageBreak/>
        <w:t xml:space="preserve">Додаток № 2 </w:t>
      </w:r>
    </w:p>
    <w:p w:rsidR="00F6132E" w:rsidRPr="00F6132E" w:rsidRDefault="001534E8" w:rsidP="00F6132E">
      <w:pPr>
        <w:spacing w:after="0" w:line="240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  <w:r w:rsidRPr="00FF5EC0">
        <w:rPr>
          <w:rFonts w:ascii="Times New Roman" w:eastAsia="Times New Roman" w:hAnsi="Times New Roman" w:cs="Times New Roman"/>
          <w:lang w:val="uk-UA" w:eastAsia="uk-UA"/>
        </w:rPr>
        <w:t>до Аудиторського Висновку</w:t>
      </w:r>
    </w:p>
    <w:p w:rsidR="001534E8" w:rsidRPr="00F6132E" w:rsidRDefault="001534E8" w:rsidP="00F6132E">
      <w:pPr>
        <w:spacing w:after="0" w:line="240" w:lineRule="exact"/>
        <w:jc w:val="right"/>
        <w:rPr>
          <w:rFonts w:ascii="Times New Roman" w:eastAsia="Times New Roman" w:hAnsi="Times New Roman" w:cs="Times New Roman"/>
          <w:lang w:val="uk-UA" w:eastAsia="uk-UA"/>
        </w:rPr>
      </w:pPr>
      <w:r w:rsidRPr="00FF5EC0">
        <w:rPr>
          <w:rFonts w:ascii="Times New Roman" w:eastAsia="Times New Roman" w:hAnsi="Times New Roman" w:cs="Times New Roman"/>
          <w:lang w:val="uk-UA" w:eastAsia="uk-UA"/>
        </w:rPr>
        <w:t xml:space="preserve"> від 27 березня 201</w:t>
      </w:r>
      <w:r w:rsidRPr="00F6132E">
        <w:rPr>
          <w:rFonts w:ascii="Times New Roman" w:eastAsia="Times New Roman" w:hAnsi="Times New Roman" w:cs="Times New Roman"/>
          <w:lang w:val="uk-UA" w:eastAsia="uk-UA"/>
        </w:rPr>
        <w:t xml:space="preserve">3 </w:t>
      </w:r>
      <w:r w:rsidRPr="00FF5EC0">
        <w:rPr>
          <w:rFonts w:ascii="Times New Roman" w:eastAsia="Times New Roman" w:hAnsi="Times New Roman" w:cs="Times New Roman"/>
          <w:lang w:val="uk-UA" w:eastAsia="uk-UA"/>
        </w:rPr>
        <w:t>року</w:t>
      </w:r>
    </w:p>
    <w:p w:rsidR="001534E8" w:rsidRPr="00FF5EC0" w:rsidRDefault="001534E8" w:rsidP="001534E8">
      <w:pPr>
        <w:spacing w:after="0" w:line="240" w:lineRule="exact"/>
        <w:ind w:hanging="2064"/>
        <w:rPr>
          <w:rFonts w:ascii="Times New Roman" w:eastAsia="Times New Roman" w:hAnsi="Times New Roman" w:cs="Times New Roman"/>
          <w:sz w:val="20"/>
          <w:szCs w:val="20"/>
        </w:rPr>
      </w:pPr>
    </w:p>
    <w:p w:rsidR="00F6132E" w:rsidRDefault="001534E8" w:rsidP="00F6132E">
      <w:pPr>
        <w:spacing w:before="72" w:after="0" w:line="307" w:lineRule="exact"/>
        <w:jc w:val="center"/>
        <w:rPr>
          <w:rFonts w:ascii="Cambria" w:eastAsia="Cambria" w:hAnsi="Cambria" w:cs="Cambria"/>
          <w:b/>
          <w:bCs/>
          <w:sz w:val="26"/>
          <w:lang w:val="uk-UA" w:eastAsia="uk-UA"/>
        </w:rPr>
      </w:pPr>
      <w:r w:rsidRPr="00FF5EC0">
        <w:rPr>
          <w:rFonts w:ascii="Cambria" w:eastAsia="Cambria" w:hAnsi="Cambria" w:cs="Cambria"/>
          <w:b/>
          <w:bCs/>
          <w:sz w:val="26"/>
          <w:lang w:val="uk-UA" w:eastAsia="uk-UA"/>
        </w:rPr>
        <w:t>Розкриття інформації щодо окремих компонентів фінансової звітності</w:t>
      </w:r>
    </w:p>
    <w:p w:rsidR="001534E8" w:rsidRPr="00FF5EC0" w:rsidRDefault="001534E8" w:rsidP="00F6132E">
      <w:pPr>
        <w:spacing w:before="72" w:after="0" w:line="307" w:lineRule="exact"/>
        <w:jc w:val="center"/>
        <w:rPr>
          <w:rFonts w:ascii="Cambria" w:eastAsia="Cambria" w:hAnsi="Cambria" w:cs="Cambria"/>
          <w:sz w:val="26"/>
          <w:szCs w:val="26"/>
        </w:rPr>
      </w:pPr>
      <w:proofErr w:type="spellStart"/>
      <w:r w:rsidRPr="00FF5EC0">
        <w:rPr>
          <w:rFonts w:ascii="Cambria" w:eastAsia="Cambria" w:hAnsi="Cambria" w:cs="Cambria"/>
          <w:b/>
          <w:bCs/>
          <w:sz w:val="26"/>
          <w:lang w:val="uk-UA" w:eastAsia="uk-UA"/>
        </w:rPr>
        <w:t>ТзОВ</w:t>
      </w:r>
      <w:proofErr w:type="spellEnd"/>
      <w:r w:rsidRPr="00FF5EC0">
        <w:rPr>
          <w:rFonts w:ascii="Cambria" w:eastAsia="Cambria" w:hAnsi="Cambria" w:cs="Cambria"/>
          <w:b/>
          <w:bCs/>
          <w:sz w:val="26"/>
          <w:lang w:val="uk-UA" w:eastAsia="uk-UA"/>
        </w:rPr>
        <w:t xml:space="preserve"> «Фінансова компанія «Фенікс»</w:t>
      </w:r>
    </w:p>
    <w:p w:rsidR="001534E8" w:rsidRPr="00FF5EC0" w:rsidRDefault="001534E8" w:rsidP="001534E8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F6132E" w:rsidRPr="00F6132E" w:rsidRDefault="001534E8" w:rsidP="00F6132E">
      <w:pPr>
        <w:pStyle w:val="a5"/>
        <w:numPr>
          <w:ilvl w:val="0"/>
          <w:numId w:val="8"/>
        </w:num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6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Загальні положення</w:t>
      </w:r>
    </w:p>
    <w:p w:rsidR="001534E8" w:rsidRPr="00F6132E" w:rsidRDefault="00F6132E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1.1.  </w:t>
      </w:r>
      <w:r w:rsidR="001534E8"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Компанія була створена у березні 2007 року у формі товариства з обмеженою відповідальністю. Зареєстрована Солом'янською районною у м. Києві державною адміністрацією 04.04.2007 р. Свідоцтво про державну реєстрацію серії А00 № 695347, за яким номер запису про включення відомостей про Товариство є 1 073 102 0000 013086.</w:t>
      </w:r>
    </w:p>
    <w:p w:rsidR="001534E8" w:rsidRPr="00F6132E" w:rsidRDefault="00F6132E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1.2. </w:t>
      </w:r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28 вересня 2007 року Компанія зареєструвала нову редакцію Статуту. Зміни стосувалися збільшення розміру статутного капіталу.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29 </w:t>
      </w:r>
      <w:r w:rsid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серпня </w:t>
      </w:r>
      <w:r w:rsid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2008</w:t>
      </w:r>
      <w:r w:rsid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</w:t>
      </w:r>
      <w:r w:rsid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Компанією було зареєстрован</w:t>
      </w:r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 нову редакцію Статуту. Зміни </w:t>
      </w: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сто</w:t>
      </w: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сувались перерозподілу часток </w:t>
      </w:r>
      <w:proofErr w:type="gram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між</w:t>
      </w:r>
      <w:proofErr w:type="gram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учасниками та ще одного збільшення розміру статутного капіталу.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29 </w:t>
      </w:r>
      <w:r w:rsid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червня </w:t>
      </w:r>
      <w:r w:rsid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201</w:t>
      </w:r>
      <w:r w:rsid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 </w:t>
      </w: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року було зареєстровано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нову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редакцію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</w:t>
      </w:r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атуту, в якій </w:t>
      </w:r>
      <w:proofErr w:type="spellStart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відображено</w:t>
      </w:r>
      <w:proofErr w:type="spellEnd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зміну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часників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директора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Товариства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gram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gram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відповідності до Протоколу № 4 загальних зборів учасників Компанії від 12 квітня 2012 року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відбулася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зміна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</w:t>
      </w:r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иків</w:t>
      </w:r>
      <w:proofErr w:type="spellEnd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Компанії</w:t>
      </w:r>
      <w:proofErr w:type="spellEnd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 </w:t>
      </w:r>
      <w:proofErr w:type="spellStart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зв'язку</w:t>
      </w:r>
      <w:proofErr w:type="spellEnd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чим,</w:t>
      </w: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23 квітня 2012 р., було зареєстровано нову редакцію Статуту.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1.3.</w:t>
      </w:r>
      <w:r w:rsid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Компанія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фінансово-господарську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діяльність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здійснює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gram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відповідності до Статуту та</w:t>
      </w: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Законів України.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Основними видами діяльності Товариства, згідно з Державним класифікатором видів діяльності</w:t>
      </w:r>
      <w:proofErr w:type="gram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є:</w:t>
      </w:r>
      <w:proofErr w:type="gramEnd"/>
    </w:p>
    <w:p w:rsidR="00F6132E" w:rsidRPr="00F6132E" w:rsidRDefault="001534E8" w:rsidP="00F6132E">
      <w:pPr>
        <w:pStyle w:val="a5"/>
        <w:numPr>
          <w:ilvl w:val="0"/>
          <w:numId w:val="9"/>
        </w:numPr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 інших фінансових послуг (крім страхування та пенсійного забезпечення), н.в.і.у.</w:t>
      </w:r>
    </w:p>
    <w:p w:rsidR="00F6132E" w:rsidRPr="00F6132E" w:rsidRDefault="001534E8" w:rsidP="00F6132E">
      <w:pPr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(КВЕД-2010 64.99)</w:t>
      </w:r>
      <w:r w:rsidR="00F6132E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;</w:t>
      </w:r>
    </w:p>
    <w:p w:rsidR="00F6132E" w:rsidRDefault="001534E8" w:rsidP="00F6132E">
      <w:pPr>
        <w:pStyle w:val="a5"/>
        <w:numPr>
          <w:ilvl w:val="0"/>
          <w:numId w:val="9"/>
        </w:numPr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надання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інших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інформаційних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послуг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, н.в</w:t>
      </w:r>
      <w:proofErr w:type="gram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.і.</w:t>
      </w:r>
      <w:proofErr w:type="gram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у. (КВЕД-2010 63.99);</w:t>
      </w:r>
    </w:p>
    <w:p w:rsidR="00F6132E" w:rsidRDefault="001534E8" w:rsidP="00F6132E">
      <w:pPr>
        <w:pStyle w:val="a5"/>
        <w:numPr>
          <w:ilvl w:val="0"/>
          <w:numId w:val="9"/>
        </w:numPr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види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грошового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посередництва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(КВЕД-2010 64.19);</w:t>
      </w:r>
    </w:p>
    <w:p w:rsidR="00F6132E" w:rsidRDefault="001534E8" w:rsidP="00F6132E">
      <w:pPr>
        <w:pStyle w:val="a5"/>
        <w:numPr>
          <w:ilvl w:val="0"/>
          <w:numId w:val="9"/>
        </w:numPr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фінансовий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лізинг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(КВЕД-2010 64.91);</w:t>
      </w:r>
    </w:p>
    <w:p w:rsidR="00F6132E" w:rsidRDefault="001534E8" w:rsidP="00F6132E">
      <w:pPr>
        <w:pStyle w:val="a5"/>
        <w:numPr>
          <w:ilvl w:val="0"/>
          <w:numId w:val="9"/>
        </w:numPr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інші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види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кредитування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(КВЕД-2010 64.92);</w:t>
      </w:r>
    </w:p>
    <w:p w:rsidR="00F6132E" w:rsidRDefault="001534E8" w:rsidP="00F6132E">
      <w:pPr>
        <w:pStyle w:val="a5"/>
        <w:numPr>
          <w:ilvl w:val="0"/>
          <w:numId w:val="9"/>
        </w:numPr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інша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допоміжна діяльність у сфері фінансових послуг,</w:t>
      </w:r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кр</w:t>
      </w:r>
      <w:proofErr w:type="gramEnd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ім</w:t>
      </w:r>
      <w:proofErr w:type="spellEnd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страхування</w:t>
      </w:r>
      <w:proofErr w:type="spellEnd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пенсійного</w:t>
      </w:r>
      <w:proofErr w:type="spellEnd"/>
    </w:p>
    <w:p w:rsidR="001534E8" w:rsidRPr="00F6132E" w:rsidRDefault="001534E8" w:rsidP="00F6132E">
      <w:pPr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забезпечення (КВЕД-2010 66.19).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1.4.</w:t>
      </w:r>
      <w:r w:rsid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Компанія у 2012 році здійснювало професійну діяльність на підставі Ліцензії серії АВ №</w:t>
      </w:r>
      <w:r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518406 на здійснення переказу коштів небанківськими фінансовими установами від 29.11.2010 р.,</w:t>
      </w:r>
      <w:r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br/>
        <w:t>терміном дії з 02.12.2010 р. по 02.12.2013 р.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Видів діяльності непередбачених законодавством Товариство не здійснює.</w:t>
      </w:r>
    </w:p>
    <w:p w:rsidR="00F6132E" w:rsidRDefault="00F6132E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F6132E" w:rsidRDefault="00F6132E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1.5. </w:t>
      </w:r>
      <w:r w:rsidR="001534E8"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Бухгалтерський облік в Компанії ведеться з використання</w:t>
      </w:r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м електронно-обчислювальної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техніки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F6132E" w:rsidRDefault="00F6132E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F6132E" w:rsidRDefault="00F6132E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1.6. </w:t>
      </w:r>
      <w:r w:rsidR="001534E8"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Організація і методологія бухгалтерського обліку фінансово-господарської діяльності Компанії здійснювалась, на протязі 2012 року, в цілому з дотримання вимог Закону України «Про бухгалтерський облік та фінансову звітність в Україні» № 996-ХІУ від 16.07.1999р.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 w:rsidR="001534E8"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Положень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стандартів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)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бухгалтерського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proofErr w:type="spellStart"/>
      <w:proofErr w:type="gramStart"/>
      <w:r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</w:t>
      </w:r>
      <w:proofErr w:type="gramEnd"/>
      <w:r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іку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інших нормативно-правових актів, затверджених Мінфіном та Мінстатом України.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uk-UA"/>
        </w:rPr>
      </w:pPr>
    </w:p>
    <w:p w:rsidR="001534E8" w:rsidRPr="00F6132E" w:rsidRDefault="008D3E0C" w:rsidP="001534E8">
      <w:pPr>
        <w:tabs>
          <w:tab w:val="left" w:pos="1915"/>
        </w:tabs>
        <w:spacing w:before="38" w:after="0" w:line="264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     </w:t>
      </w:r>
      <w:r w:rsidR="001534E8" w:rsidRPr="00F6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2.</w:t>
      </w:r>
      <w:r w:rsidR="00F6132E" w:rsidRPr="00F6132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uk-UA"/>
        </w:rPr>
        <w:t xml:space="preserve"> </w:t>
      </w:r>
      <w:r w:rsidR="001534E8" w:rsidRPr="00F613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Власний капітал</w:t>
      </w:r>
    </w:p>
    <w:p w:rsidR="001534E8" w:rsidRPr="00F6132E" w:rsidRDefault="001534E8" w:rsidP="008D3E0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2.1.</w:t>
      </w:r>
      <w:r w:rsidR="00F6132E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Власний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Компанії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складається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зі Статутного капіталу, який збільшується на суму</w:t>
      </w: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отриманих прибуткі</w:t>
      </w:r>
      <w:proofErr w:type="gram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534E8" w:rsidRPr="00F6132E" w:rsidRDefault="001534E8" w:rsidP="008D3E0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Статутний капітал Компанії станом на 31.12.2012 р. сплачений в повному обсязі і складає 8.000.000,00 (вісім мільйонів) гривень.</w:t>
      </w:r>
    </w:p>
    <w:p w:rsidR="008D3E0C" w:rsidRPr="008D3E0C" w:rsidRDefault="001534E8" w:rsidP="008D3E0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Статутний капітал Компанії </w:t>
      </w:r>
      <w:proofErr w:type="gram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у</w:t>
      </w:r>
      <w:proofErr w:type="gram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відповідності до Статуту було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сплачено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грошовими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коштами.</w:t>
      </w:r>
    </w:p>
    <w:p w:rsidR="00527183" w:rsidRDefault="00527183" w:rsidP="008D3E0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8D3E0C" w:rsidRDefault="008D3E0C" w:rsidP="008D3E0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2.2.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Частка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державної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власності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</w:t>
      </w:r>
      <w:proofErr w:type="gram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Статутному</w:t>
      </w:r>
      <w:proofErr w:type="gram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капіталі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Компанії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відсутня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8D3E0C" w:rsidRPr="008D3E0C" w:rsidRDefault="008D3E0C" w:rsidP="008D3E0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4E8" w:rsidRPr="008D3E0C" w:rsidRDefault="008D3E0C" w:rsidP="008D3E0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2.3. </w:t>
      </w:r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 на 31.12.2012 р. нерозподілений прибуток складає 69 тис</w:t>
      </w:r>
      <w:proofErr w:type="gram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proofErr w:type="gram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рн.</w:t>
      </w:r>
    </w:p>
    <w:p w:rsidR="008D3E0C" w:rsidRPr="008D3E0C" w:rsidRDefault="008D3E0C" w:rsidP="008D3E0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4E8" w:rsidRPr="00F6132E" w:rsidRDefault="008D3E0C" w:rsidP="008D3E0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2.4. </w:t>
      </w:r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Аудитор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вважа</w:t>
      </w:r>
      <w:proofErr w:type="gram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є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proofErr w:type="gram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що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структура власного капіталу відображена в обліку Компанії у відповідності до наявних первинних документів та чинного законодавства України.</w:t>
      </w:r>
    </w:p>
    <w:p w:rsidR="001534E8" w:rsidRPr="00F6132E" w:rsidRDefault="001534E8" w:rsidP="008D3E0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Аналітичний облік Статутного капіталу ведеться.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4E8" w:rsidRPr="008D3E0C" w:rsidRDefault="008D3E0C" w:rsidP="008D3E0C">
      <w:pPr>
        <w:tabs>
          <w:tab w:val="left" w:pos="1915"/>
        </w:tabs>
        <w:spacing w:before="38" w:after="0" w:line="264" w:lineRule="exac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     </w:t>
      </w:r>
      <w:r w:rsidR="001534E8" w:rsidRPr="008D3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="001534E8" w:rsidRPr="008D3E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Облік активів.</w:t>
      </w:r>
    </w:p>
    <w:p w:rsidR="008D3E0C" w:rsidRDefault="001534E8" w:rsidP="008D3E0C">
      <w:pPr>
        <w:spacing w:before="72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3.1.</w:t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Облік основних засобів, нематеріальних активів, та їх зносу (амортизації)</w:t>
      </w:r>
    </w:p>
    <w:p w:rsidR="001534E8" w:rsidRPr="008D3E0C" w:rsidRDefault="001534E8" w:rsidP="008D3E0C">
      <w:pPr>
        <w:spacing w:before="72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Класифікація, оцінка</w:t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</w:t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облік </w:t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основних</w:t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засобів</w:t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</w:t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малоцінних</w:t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необоротних</w:t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матеріальних</w:t>
      </w:r>
    </w:p>
    <w:p w:rsidR="008D3E0C" w:rsidRDefault="001534E8" w:rsidP="008D3E0C">
      <w:pPr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активів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в</w:t>
      </w:r>
      <w:proofErr w:type="gram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Компанії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цілому відповідає вимогам, встановленим чинним законодавством України. </w:t>
      </w:r>
    </w:p>
    <w:p w:rsidR="001534E8" w:rsidRPr="00F6132E" w:rsidRDefault="008D3E0C" w:rsidP="008D3E0C">
      <w:pPr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</w:t>
      </w:r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Станом на 31.12.2012 р. на балансі Компанії </w:t>
      </w:r>
      <w:proofErr w:type="gram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</w:t>
      </w:r>
      <w:proofErr w:type="gram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іковується:</w:t>
      </w:r>
    </w:p>
    <w:p w:rsidR="008D3E0C" w:rsidRPr="008D3E0C" w:rsidRDefault="001534E8" w:rsidP="008D3E0C">
      <w:pPr>
        <w:pStyle w:val="a5"/>
        <w:numPr>
          <w:ilvl w:val="0"/>
          <w:numId w:val="9"/>
        </w:num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власних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основних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засобів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(по залишковій вартості)</w:t>
      </w:r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  <w:t>0 тис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рн.;</w:t>
      </w:r>
    </w:p>
    <w:p w:rsidR="008D3E0C" w:rsidRPr="008D3E0C" w:rsidRDefault="001534E8" w:rsidP="008D3E0C">
      <w:pPr>
        <w:pStyle w:val="a5"/>
        <w:numPr>
          <w:ilvl w:val="0"/>
          <w:numId w:val="9"/>
        </w:num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знос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              </w:t>
      </w:r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73 тис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рн.;</w:t>
      </w:r>
    </w:p>
    <w:p w:rsidR="008D3E0C" w:rsidRPr="008D3E0C" w:rsidRDefault="001534E8" w:rsidP="008D3E0C">
      <w:pPr>
        <w:pStyle w:val="a5"/>
        <w:numPr>
          <w:ilvl w:val="0"/>
          <w:numId w:val="9"/>
        </w:numPr>
        <w:spacing w:before="7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власних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основних засобів (по </w:t>
      </w: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первісній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вартості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</w:t>
      </w:r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73 тис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рн. </w:t>
      </w:r>
    </w:p>
    <w:p w:rsidR="001534E8" w:rsidRPr="008D3E0C" w:rsidRDefault="001534E8" w:rsidP="008D3E0C">
      <w:pPr>
        <w:spacing w:before="72"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Одиницею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іку основних засобів є окремий об'єкт.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нарах</w:t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ванні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амортизації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застосовується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прямолінійний</w:t>
      </w:r>
      <w:proofErr w:type="spell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метод.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Перевіркою операцій щодо придбання, реалізації та </w:t>
      </w:r>
      <w:proofErr w:type="gram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proofErr w:type="gram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іквідації основних засобів порушень не встановлено.</w:t>
      </w:r>
    </w:p>
    <w:p w:rsidR="001534E8" w:rsidRPr="008D3E0C" w:rsidRDefault="001534E8" w:rsidP="008D3E0C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Аналітичний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синтетичний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іки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основних засобів пов'язані між собою. 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П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ід час аудиторської перевірки розбіжностей не встановлено.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протязі 2012 року Компанія дотримувалась вимог незмінності методів, визначених </w:t>
      </w:r>
      <w:proofErr w:type="gram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</w:t>
      </w:r>
      <w:proofErr w:type="gram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іковою політикою, стосовно обліку основних засобів та їх зносу.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Аудитором наголошено на необхідності проведення інвентаризації з метою визначення ринкової вартості об'єктів основних засобів та перегляду строків їх корисного використання.</w:t>
      </w:r>
    </w:p>
    <w:p w:rsidR="008D3E0C" w:rsidRDefault="008D3E0C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F6132E" w:rsidRDefault="008D3E0C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3.2.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Незавершені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капітальні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вкладення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станом на 31.12.2012 р. на балансі Компанії відсутні.</w:t>
      </w:r>
    </w:p>
    <w:p w:rsidR="008D3E0C" w:rsidRDefault="008D3E0C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F6132E" w:rsidRDefault="008D3E0C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3.3.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Нематеріальні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активи</w:t>
      </w:r>
      <w:proofErr w:type="spellEnd"/>
      <w:r w:rsidR="001534E8"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Станом на 31.12.2012 р. на балансі Компанії </w:t>
      </w:r>
      <w:proofErr w:type="gram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</w:t>
      </w:r>
      <w:proofErr w:type="gram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іковується:</w:t>
      </w:r>
    </w:p>
    <w:p w:rsidR="008D3E0C" w:rsidRPr="008D3E0C" w:rsidRDefault="001534E8" w:rsidP="008D3E0C">
      <w:pPr>
        <w:pStyle w:val="a5"/>
        <w:numPr>
          <w:ilvl w:val="0"/>
          <w:numId w:val="9"/>
        </w:numPr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власних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нематеріальних активів (по залишковій вартості)     24 тис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рн.;</w:t>
      </w:r>
    </w:p>
    <w:p w:rsidR="008D3E0C" w:rsidRPr="008D3E0C" w:rsidRDefault="001534E8" w:rsidP="008D3E0C">
      <w:pPr>
        <w:pStyle w:val="a5"/>
        <w:numPr>
          <w:ilvl w:val="0"/>
          <w:numId w:val="9"/>
        </w:numPr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знос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ab/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</w:r>
      <w:r w:rsid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ab/>
        <w:t xml:space="preserve">   </w:t>
      </w:r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9 тис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рн.;</w:t>
      </w:r>
    </w:p>
    <w:p w:rsidR="008D3E0C" w:rsidRPr="008D3E0C" w:rsidRDefault="001534E8" w:rsidP="008D3E0C">
      <w:pPr>
        <w:pStyle w:val="a5"/>
        <w:numPr>
          <w:ilvl w:val="0"/>
          <w:numId w:val="9"/>
        </w:numPr>
        <w:spacing w:before="72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власних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нематеріальних активів (по первісній вартості)        33 тис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рн. </w:t>
      </w:r>
    </w:p>
    <w:p w:rsidR="001534E8" w:rsidRPr="008D3E0C" w:rsidRDefault="001534E8" w:rsidP="008D3E0C">
      <w:pPr>
        <w:spacing w:before="72"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При </w:t>
      </w: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нарахуванні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амортизації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застосовується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прямолінійний метод.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Перевіркою операцій щодо придбання, реалізації та </w:t>
      </w:r>
      <w:proofErr w:type="gramStart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л</w:t>
      </w:r>
      <w:proofErr w:type="gramEnd"/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іквідації нематеріальних активів порушень не встановлено.</w:t>
      </w:r>
    </w:p>
    <w:p w:rsidR="001534E8" w:rsidRPr="00F6132E" w:rsidRDefault="001534E8" w:rsidP="00F6132E">
      <w:pPr>
        <w:spacing w:before="72"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6132E">
        <w:rPr>
          <w:rFonts w:ascii="Times New Roman" w:eastAsia="Times New Roman" w:hAnsi="Times New Roman" w:cs="Times New Roman"/>
          <w:sz w:val="24"/>
          <w:szCs w:val="24"/>
          <w:lang w:eastAsia="uk-UA"/>
        </w:rPr>
        <w:t>Аналітичний та синтетичний обліки нематеріальних активів пов'язані між собою. Під час аудиторської перевірки розбіжностей не встановлено.</w:t>
      </w:r>
    </w:p>
    <w:p w:rsidR="001534E8" w:rsidRPr="002010A8" w:rsidRDefault="001534E8" w:rsidP="001534E8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1534E8" w:rsidRPr="008D3E0C" w:rsidRDefault="008D3E0C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протязі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2012 року Компанія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дотримувалась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вимог незмінності методів, визначених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обліковою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політикою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стосовно обліку нематері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альних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активів та їх зносу.</w:t>
      </w:r>
    </w:p>
    <w:p w:rsidR="001534E8" w:rsidRPr="008D3E0C" w:rsidRDefault="001534E8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8D3E0C" w:rsidRDefault="008D3E0C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3.4. 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Облік фінансових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вкладень</w:t>
      </w:r>
      <w:proofErr w:type="spellEnd"/>
    </w:p>
    <w:p w:rsidR="008D3E0C" w:rsidRDefault="008D3E0C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Станом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31.12.2012 р. на </w:t>
      </w:r>
      <w:proofErr w:type="spellStart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балансі</w:t>
      </w:r>
      <w:proofErr w:type="spellEnd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Компанії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обл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іковують</w:t>
      </w:r>
      <w:r w:rsid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ся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інвестиційні</w:t>
      </w:r>
      <w:proofErr w:type="spellEnd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сертифікати</w:t>
      </w:r>
      <w:proofErr w:type="spellEnd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загальну суму 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1634000 тис. грн. (один </w:t>
      </w:r>
      <w:proofErr w:type="spellStart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мільйон</w:t>
      </w:r>
      <w:proofErr w:type="spellEnd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шістсот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чотири</w:t>
      </w:r>
      <w:proofErr w:type="spellEnd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тисячі</w:t>
      </w:r>
      <w:proofErr w:type="spellEnd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грн.) та </w:t>
      </w:r>
      <w:proofErr w:type="spellStart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прості</w:t>
      </w:r>
      <w:proofErr w:type="spellEnd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іменні</w:t>
      </w:r>
      <w:proofErr w:type="spellEnd"/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акції ПАТ </w:t>
      </w:r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ФК </w:t>
      </w:r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"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Авангард" на суму 301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000 тис. грн.</w:t>
      </w:r>
      <w:r w:rsidR="005271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(триста одна тисяча грн.</w:t>
      </w:r>
      <w:r w:rsidR="001534E8"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).</w:t>
      </w:r>
    </w:p>
    <w:p w:rsidR="001534E8" w:rsidRPr="008D3E0C" w:rsidRDefault="001534E8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Наявність наведених фінансових вкладень витверджується </w:t>
      </w:r>
      <w:r w:rsid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наявними документами. Обмеження </w:t>
      </w: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обігу цінних паперів </w:t>
      </w:r>
      <w:r w:rsid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відсутні.</w:t>
      </w:r>
    </w:p>
    <w:p w:rsidR="001534E8" w:rsidRPr="008D3E0C" w:rsidRDefault="001534E8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8D3E0C" w:rsidRDefault="001534E8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8D3E0C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3.5. Ста</w:t>
      </w:r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ном на 31.12.2012 р. на </w:t>
      </w: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балансі</w:t>
      </w:r>
      <w:proofErr w:type="spellEnd"/>
      <w:r w:rsid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Компанії</w:t>
      </w:r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виробничі</w:t>
      </w:r>
      <w:proofErr w:type="spell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запаси не </w:t>
      </w:r>
      <w:proofErr w:type="gramStart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</w:t>
      </w:r>
      <w:proofErr w:type="gramEnd"/>
      <w:r w:rsidRPr="008D3E0C">
        <w:rPr>
          <w:rFonts w:ascii="Times New Roman" w:eastAsia="Times New Roman" w:hAnsi="Times New Roman" w:cs="Times New Roman"/>
          <w:sz w:val="24"/>
          <w:szCs w:val="24"/>
          <w:lang w:eastAsia="uk-UA"/>
        </w:rPr>
        <w:t>іковуються.</w:t>
      </w:r>
    </w:p>
    <w:p w:rsidR="001534E8" w:rsidRPr="008D3E0C" w:rsidRDefault="001534E8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4E8" w:rsidRPr="009F787A" w:rsidRDefault="009F787A" w:rsidP="009F787A">
      <w:pPr>
        <w:tabs>
          <w:tab w:val="left" w:pos="1915"/>
        </w:tabs>
        <w:spacing w:before="38" w:after="0" w:line="264" w:lineRule="exact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    </w:t>
      </w:r>
      <w:r w:rsidR="001534E8" w:rsidRPr="009F7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4.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="001534E8" w:rsidRPr="009F78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Облік коштів та розрахунків</w:t>
      </w:r>
    </w:p>
    <w:p w:rsidR="001534E8" w:rsidRPr="00527183" w:rsidRDefault="001534E8" w:rsidP="0052718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4.1.</w:t>
      </w:r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Перевіркою</w:t>
      </w:r>
      <w:proofErr w:type="spellEnd"/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відповідності</w:t>
      </w:r>
      <w:proofErr w:type="spellEnd"/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фактичних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залишків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 </w:t>
      </w:r>
      <w:proofErr w:type="spellStart"/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банківських</w:t>
      </w:r>
      <w:proofErr w:type="spellEnd"/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рахунках</w:t>
      </w:r>
      <w:proofErr w:type="spellEnd"/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даним</w:t>
      </w:r>
      <w:proofErr w:type="spellEnd"/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бухгалтерського</w:t>
      </w:r>
      <w:proofErr w:type="spellEnd"/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proofErr w:type="gramStart"/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обл</w:t>
      </w:r>
      <w:proofErr w:type="gramEnd"/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іку</w:t>
      </w:r>
      <w:proofErr w:type="spellEnd"/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proofErr w:type="spellStart"/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відхилень</w:t>
      </w:r>
      <w:proofErr w:type="spellEnd"/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 </w:t>
      </w:r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встановлено. </w:t>
      </w:r>
    </w:p>
    <w:p w:rsidR="001534E8" w:rsidRPr="00527183" w:rsidRDefault="001534E8" w:rsidP="0052718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Кошти з банківських рахунків </w:t>
      </w:r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списуються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виключно за розпорядженнями відповідних посадових осіб Компанії.</w:t>
      </w:r>
    </w:p>
    <w:p w:rsidR="001534E8" w:rsidRPr="00527183" w:rsidRDefault="001534E8" w:rsidP="0052718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Дані аналітичного обліку коштів </w:t>
      </w:r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на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рахунках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 банках в</w:t>
      </w:r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ідповідають синтетичному обліку, розбіжностей під час аудиторської перевірки не встановлено. </w:t>
      </w:r>
    </w:p>
    <w:p w:rsidR="009F787A" w:rsidRPr="00527183" w:rsidRDefault="009F787A" w:rsidP="0052718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4E8" w:rsidRPr="00527183" w:rsidRDefault="001534E8" w:rsidP="0052718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4.2.</w:t>
      </w:r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Дебіторська заборгованість </w:t>
      </w:r>
      <w:r w:rsidR="009F787A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Компанії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сформована в цілому у відповідності до вимог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чинного законодавства України.</w:t>
      </w:r>
    </w:p>
    <w:p w:rsidR="001534E8" w:rsidRPr="00527183" w:rsidRDefault="001534E8" w:rsidP="0052718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Дебіторська заборгованість </w:t>
      </w:r>
      <w:r w:rsidR="00527183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станом на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27183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31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.12</w:t>
      </w:r>
      <w:r w:rsidR="00527183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2012 р. у загальному підсумку становить 6107 тис. грн. та складається із </w:t>
      </w:r>
      <w:r w:rsidR="00527183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заборгованість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 виданими кредитами, розрахунків з бюджетом, нарахованих доходів та іншої поточної </w:t>
      </w:r>
      <w:r w:rsidR="00527183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дебіторської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заборгованості.</w:t>
      </w:r>
    </w:p>
    <w:p w:rsidR="001534E8" w:rsidRPr="00527183" w:rsidRDefault="001534E8" w:rsidP="0052718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Резерв сумнівних боргів </w:t>
      </w:r>
      <w:r w:rsidR="00527183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формується у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відповідності до вимог Положення (стандарту) бухгалтерського обліку 10 «</w:t>
      </w:r>
      <w:r w:rsidR="00527183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Дебіторська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27183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заборгованість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».</w:t>
      </w:r>
    </w:p>
    <w:p w:rsidR="001534E8" w:rsidRPr="00527183" w:rsidRDefault="001534E8" w:rsidP="0052718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4E8" w:rsidRPr="00527183" w:rsidRDefault="001534E8" w:rsidP="0052718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4.3.</w:t>
      </w:r>
      <w:r w:rsidR="00527183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Облік кредиторської </w:t>
      </w:r>
      <w:r w:rsidR="00527183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заборгованість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оцінка зобов'язань здійснювалась у відповідності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до Положення (стандарту</w:t>
      </w:r>
      <w:r w:rsidR="00527183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)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527183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бухгалтерського обліку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№ 11 «Зобов'язання».</w:t>
      </w:r>
    </w:p>
    <w:p w:rsidR="001534E8" w:rsidRPr="00527183" w:rsidRDefault="001534E8" w:rsidP="00527183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Станом на 31.12.2011 р. на </w:t>
      </w:r>
      <w:r w:rsidR="00527183"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>балансі</w:t>
      </w:r>
      <w:r w:rsidRPr="00527183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Товариства обліковуються короткострокові зобов'язання на загальну суму 92 тис. гри.</w:t>
      </w:r>
    </w:p>
    <w:p w:rsidR="001534E8" w:rsidRPr="009F787A" w:rsidRDefault="001534E8" w:rsidP="009F787A">
      <w:pPr>
        <w:spacing w:before="72"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534E8" w:rsidRPr="00527183" w:rsidRDefault="001534E8" w:rsidP="00527183">
      <w:pPr>
        <w:tabs>
          <w:tab w:val="left" w:pos="1915"/>
        </w:tabs>
        <w:spacing w:before="38" w:after="0" w:line="264" w:lineRule="exact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5.</w:t>
      </w:r>
      <w:r w:rsid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P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Фінансові </w:t>
      </w:r>
      <w:r w:rsid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результати </w:t>
      </w:r>
      <w:r w:rsidRP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діяльності </w:t>
      </w:r>
      <w:r w:rsidRP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Компанії</w:t>
      </w:r>
      <w:r w:rsidRP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P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визначені.</w:t>
      </w:r>
    </w:p>
    <w:p w:rsidR="001534E8" w:rsidRPr="009F787A" w:rsidRDefault="001534E8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Фінансово-</w:t>
      </w:r>
      <w:r w:rsidR="005271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господарська</w:t>
      </w:r>
      <w:r w:rsidRP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5271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діяльність</w:t>
      </w:r>
      <w:r w:rsidRP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Компанії прибуткова. За результатами діяльності за 2012 р. Компанією отримано </w:t>
      </w:r>
      <w:r w:rsidR="005271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прибуток</w:t>
      </w:r>
      <w:r w:rsidRP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 тис. грн.</w:t>
      </w:r>
    </w:p>
    <w:p w:rsidR="001534E8" w:rsidRPr="008D3E0C" w:rsidRDefault="001534E8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1534E8" w:rsidRPr="00527183" w:rsidRDefault="001534E8" w:rsidP="00527183">
      <w:pPr>
        <w:tabs>
          <w:tab w:val="left" w:pos="1915"/>
        </w:tabs>
        <w:spacing w:before="38" w:after="0" w:line="264" w:lineRule="exact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</w:pPr>
      <w:r w:rsidRP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6.</w:t>
      </w:r>
      <w:r w:rsid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</w:t>
      </w:r>
      <w:r w:rsidRP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Стан </w:t>
      </w:r>
      <w:r w:rsid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>бухгалтерського обліку та</w:t>
      </w:r>
      <w:r w:rsidRPr="005271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 звітності</w:t>
      </w:r>
    </w:p>
    <w:p w:rsidR="001534E8" w:rsidRPr="009F787A" w:rsidRDefault="001534E8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Організація і </w:t>
      </w:r>
      <w:r w:rsidR="005271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методологія</w:t>
      </w:r>
      <w:r w:rsidRP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бухгалтерського обліку фінансово-господарської діяльності Компанії здійснювалась, </w:t>
      </w:r>
      <w:r w:rsidR="005271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</w:t>
      </w:r>
      <w:r w:rsidRP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протязі 2012 року, в цілому з дотримання вимог Закону України «Про бухгалтерський облік та фінансова звітність в Україні» № 996-ХІУ від 16.07.1999р., Положень (стандартів) </w:t>
      </w:r>
      <w:r w:rsidR="005271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бухгалтерського обліку</w:t>
      </w:r>
      <w:r w:rsidRP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інших нормативно-правових актів, затверджених Мінфіном та Мінстатом України.</w:t>
      </w:r>
    </w:p>
    <w:p w:rsidR="001534E8" w:rsidRPr="009F787A" w:rsidRDefault="001534E8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Принципи ведення бухгалтерського обліку, визначені чинними законодавством України, при формуванні фінансової звітності </w:t>
      </w:r>
      <w:r w:rsidR="00527183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у</w:t>
      </w:r>
      <w:r w:rsidRP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2012 року було Компанією в цілому дотримано.</w:t>
      </w:r>
    </w:p>
    <w:p w:rsidR="001534E8" w:rsidRPr="009F787A" w:rsidRDefault="001534E8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Аналітичний та синтетичний обліки пов'язані між собою. Розбіжностей між записами в облікових регістрах, обіговим балансом та формами звітності, під час перевірки не встановлено. Форми звітності пов'язані між собою.</w:t>
      </w:r>
    </w:p>
    <w:p w:rsidR="001534E8" w:rsidRPr="009F787A" w:rsidRDefault="001534E8" w:rsidP="009F787A">
      <w:pPr>
        <w:spacing w:before="72"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9F787A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 дату перевірки фінансової звітності підстав щодо виникнення застережень відносно порушення принципу безперервності діяльності Компанії не встановлено.</w:t>
      </w:r>
      <w:bookmarkStart w:id="0" w:name="_GoBack"/>
      <w:bookmarkEnd w:id="0"/>
    </w:p>
    <w:sectPr w:rsidR="001534E8" w:rsidRPr="009F787A" w:rsidSect="00220A2C">
      <w:pgSz w:w="12437" w:h="1697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217"/>
    <w:multiLevelType w:val="multilevel"/>
    <w:tmpl w:val="21DC4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470352"/>
    <w:multiLevelType w:val="singleLevel"/>
    <w:tmpl w:val="35B26664"/>
    <w:lvl w:ilvl="0">
      <w:start w:val="2"/>
      <w:numFmt w:val="decimal"/>
      <w:lvlText w:val="3.%1."/>
      <w:lvlJc w:val="left"/>
    </w:lvl>
  </w:abstractNum>
  <w:abstractNum w:abstractNumId="2">
    <w:nsid w:val="183F5DCE"/>
    <w:multiLevelType w:val="singleLevel"/>
    <w:tmpl w:val="CD12ABE4"/>
    <w:lvl w:ilvl="0">
      <w:start w:val="2"/>
      <w:numFmt w:val="decimal"/>
      <w:lvlText w:val="2.%1."/>
      <w:lvlJc w:val="left"/>
    </w:lvl>
  </w:abstractNum>
  <w:abstractNum w:abstractNumId="3">
    <w:nsid w:val="19D64AC5"/>
    <w:multiLevelType w:val="hybridMultilevel"/>
    <w:tmpl w:val="70945030"/>
    <w:lvl w:ilvl="0" w:tplc="26D04C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F4A89"/>
    <w:multiLevelType w:val="singleLevel"/>
    <w:tmpl w:val="79CE77B0"/>
    <w:lvl w:ilvl="0">
      <w:start w:val="5"/>
      <w:numFmt w:val="decimal"/>
      <w:lvlText w:val="1.%1."/>
      <w:lvlJc w:val="left"/>
    </w:lvl>
  </w:abstractNum>
  <w:abstractNum w:abstractNumId="5">
    <w:nsid w:val="433E6B20"/>
    <w:multiLevelType w:val="singleLevel"/>
    <w:tmpl w:val="096E112E"/>
    <w:lvl w:ilvl="0">
      <w:numFmt w:val="bullet"/>
      <w:lvlText w:val="-"/>
      <w:lvlJc w:val="left"/>
    </w:lvl>
  </w:abstractNum>
  <w:abstractNum w:abstractNumId="6">
    <w:nsid w:val="5C086F89"/>
    <w:multiLevelType w:val="singleLevel"/>
    <w:tmpl w:val="5B68389E"/>
    <w:lvl w:ilvl="0">
      <w:start w:val="1"/>
      <w:numFmt w:val="decimal"/>
      <w:lvlText w:val="1.%1."/>
      <w:lvlJc w:val="left"/>
    </w:lvl>
  </w:abstractNum>
  <w:abstractNum w:abstractNumId="7">
    <w:nsid w:val="73E31E57"/>
    <w:multiLevelType w:val="singleLevel"/>
    <w:tmpl w:val="4ACE10B8"/>
    <w:lvl w:ilvl="0">
      <w:numFmt w:val="bullet"/>
      <w:lvlText w:val="-"/>
      <w:lvlJc w:val="left"/>
    </w:lvl>
  </w:abstractNum>
  <w:abstractNum w:abstractNumId="8">
    <w:nsid w:val="778D398C"/>
    <w:multiLevelType w:val="singleLevel"/>
    <w:tmpl w:val="F3803CF0"/>
    <w:lvl w:ilvl="0">
      <w:numFmt w:val="bullet"/>
      <w:lvlText w:val="-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E8"/>
    <w:rsid w:val="00002066"/>
    <w:rsid w:val="00002FA4"/>
    <w:rsid w:val="00015425"/>
    <w:rsid w:val="0001622C"/>
    <w:rsid w:val="00023390"/>
    <w:rsid w:val="0003260B"/>
    <w:rsid w:val="00037EE3"/>
    <w:rsid w:val="0004149D"/>
    <w:rsid w:val="00044556"/>
    <w:rsid w:val="00046B4B"/>
    <w:rsid w:val="00054B70"/>
    <w:rsid w:val="000551C0"/>
    <w:rsid w:val="00067854"/>
    <w:rsid w:val="000752D3"/>
    <w:rsid w:val="00075985"/>
    <w:rsid w:val="00077C15"/>
    <w:rsid w:val="00081855"/>
    <w:rsid w:val="00087F1D"/>
    <w:rsid w:val="00094000"/>
    <w:rsid w:val="00094A77"/>
    <w:rsid w:val="000A2F13"/>
    <w:rsid w:val="000A3977"/>
    <w:rsid w:val="000C4BB7"/>
    <w:rsid w:val="000D10FC"/>
    <w:rsid w:val="000D6E52"/>
    <w:rsid w:val="000E7B5F"/>
    <w:rsid w:val="000F2970"/>
    <w:rsid w:val="000F5168"/>
    <w:rsid w:val="00120C8D"/>
    <w:rsid w:val="0012185D"/>
    <w:rsid w:val="001240C1"/>
    <w:rsid w:val="0012457B"/>
    <w:rsid w:val="001534E8"/>
    <w:rsid w:val="00153B47"/>
    <w:rsid w:val="00156418"/>
    <w:rsid w:val="00174C60"/>
    <w:rsid w:val="001759D0"/>
    <w:rsid w:val="0018664C"/>
    <w:rsid w:val="00190B41"/>
    <w:rsid w:val="00192DF4"/>
    <w:rsid w:val="00197EB1"/>
    <w:rsid w:val="001A2364"/>
    <w:rsid w:val="001B6D3D"/>
    <w:rsid w:val="001C4F01"/>
    <w:rsid w:val="001D1FAF"/>
    <w:rsid w:val="001D7909"/>
    <w:rsid w:val="001F5336"/>
    <w:rsid w:val="002008AD"/>
    <w:rsid w:val="00210C2A"/>
    <w:rsid w:val="00220A2C"/>
    <w:rsid w:val="00220C92"/>
    <w:rsid w:val="0023439B"/>
    <w:rsid w:val="00234CE7"/>
    <w:rsid w:val="0023535B"/>
    <w:rsid w:val="00237E79"/>
    <w:rsid w:val="002400D5"/>
    <w:rsid w:val="00243586"/>
    <w:rsid w:val="00244B4A"/>
    <w:rsid w:val="00244D9B"/>
    <w:rsid w:val="00246CFF"/>
    <w:rsid w:val="00254EBD"/>
    <w:rsid w:val="00260A9A"/>
    <w:rsid w:val="002708F2"/>
    <w:rsid w:val="00270C65"/>
    <w:rsid w:val="002712F1"/>
    <w:rsid w:val="002740A8"/>
    <w:rsid w:val="00286D88"/>
    <w:rsid w:val="00291834"/>
    <w:rsid w:val="002A7CE2"/>
    <w:rsid w:val="002C069E"/>
    <w:rsid w:val="002D254C"/>
    <w:rsid w:val="002D3602"/>
    <w:rsid w:val="002D4B24"/>
    <w:rsid w:val="002E5569"/>
    <w:rsid w:val="002F0ADC"/>
    <w:rsid w:val="00306CC5"/>
    <w:rsid w:val="00326669"/>
    <w:rsid w:val="00330775"/>
    <w:rsid w:val="0033194D"/>
    <w:rsid w:val="0033334F"/>
    <w:rsid w:val="00365506"/>
    <w:rsid w:val="00385C34"/>
    <w:rsid w:val="00392B35"/>
    <w:rsid w:val="003A0D25"/>
    <w:rsid w:val="003A1D30"/>
    <w:rsid w:val="003A498A"/>
    <w:rsid w:val="003B140F"/>
    <w:rsid w:val="003C62F3"/>
    <w:rsid w:val="003E31AA"/>
    <w:rsid w:val="003E4890"/>
    <w:rsid w:val="003F3EA4"/>
    <w:rsid w:val="003F5A45"/>
    <w:rsid w:val="00410C69"/>
    <w:rsid w:val="00410E81"/>
    <w:rsid w:val="004425DB"/>
    <w:rsid w:val="004435D2"/>
    <w:rsid w:val="004474E9"/>
    <w:rsid w:val="004538A7"/>
    <w:rsid w:val="00455D52"/>
    <w:rsid w:val="0046344D"/>
    <w:rsid w:val="00467823"/>
    <w:rsid w:val="0047103B"/>
    <w:rsid w:val="00474484"/>
    <w:rsid w:val="004750B2"/>
    <w:rsid w:val="004805FA"/>
    <w:rsid w:val="00487F25"/>
    <w:rsid w:val="004A0697"/>
    <w:rsid w:val="004A4F25"/>
    <w:rsid w:val="004B7A13"/>
    <w:rsid w:val="004B7D8A"/>
    <w:rsid w:val="004C0044"/>
    <w:rsid w:val="004C2C61"/>
    <w:rsid w:val="004C485F"/>
    <w:rsid w:val="004C6EFF"/>
    <w:rsid w:val="004E4151"/>
    <w:rsid w:val="004F3F79"/>
    <w:rsid w:val="00515EA2"/>
    <w:rsid w:val="005167CC"/>
    <w:rsid w:val="005229E7"/>
    <w:rsid w:val="00524E6B"/>
    <w:rsid w:val="00527183"/>
    <w:rsid w:val="00527860"/>
    <w:rsid w:val="00531795"/>
    <w:rsid w:val="005341FF"/>
    <w:rsid w:val="00535699"/>
    <w:rsid w:val="005425E4"/>
    <w:rsid w:val="0055173E"/>
    <w:rsid w:val="00574093"/>
    <w:rsid w:val="005912F4"/>
    <w:rsid w:val="00594C1F"/>
    <w:rsid w:val="005C1283"/>
    <w:rsid w:val="005C1A26"/>
    <w:rsid w:val="005D7B5C"/>
    <w:rsid w:val="005F5574"/>
    <w:rsid w:val="006038C4"/>
    <w:rsid w:val="0061271F"/>
    <w:rsid w:val="0062462C"/>
    <w:rsid w:val="00626001"/>
    <w:rsid w:val="00645560"/>
    <w:rsid w:val="00660F74"/>
    <w:rsid w:val="00673C7D"/>
    <w:rsid w:val="00674043"/>
    <w:rsid w:val="0068291C"/>
    <w:rsid w:val="00690230"/>
    <w:rsid w:val="006921B5"/>
    <w:rsid w:val="00695D93"/>
    <w:rsid w:val="006A5392"/>
    <w:rsid w:val="006C1C6D"/>
    <w:rsid w:val="006D0648"/>
    <w:rsid w:val="006D4836"/>
    <w:rsid w:val="00712C8D"/>
    <w:rsid w:val="007134D1"/>
    <w:rsid w:val="00726343"/>
    <w:rsid w:val="007353B3"/>
    <w:rsid w:val="0074428B"/>
    <w:rsid w:val="00745132"/>
    <w:rsid w:val="00780225"/>
    <w:rsid w:val="00780226"/>
    <w:rsid w:val="00780294"/>
    <w:rsid w:val="00791BFA"/>
    <w:rsid w:val="007A3DA3"/>
    <w:rsid w:val="007C74C8"/>
    <w:rsid w:val="007D5651"/>
    <w:rsid w:val="007F1692"/>
    <w:rsid w:val="008020CE"/>
    <w:rsid w:val="00802A2B"/>
    <w:rsid w:val="00807B61"/>
    <w:rsid w:val="008107A6"/>
    <w:rsid w:val="00811718"/>
    <w:rsid w:val="00817945"/>
    <w:rsid w:val="00824A2B"/>
    <w:rsid w:val="00827026"/>
    <w:rsid w:val="00827870"/>
    <w:rsid w:val="0083620A"/>
    <w:rsid w:val="0086310B"/>
    <w:rsid w:val="0087676D"/>
    <w:rsid w:val="008829E6"/>
    <w:rsid w:val="00883E51"/>
    <w:rsid w:val="00884723"/>
    <w:rsid w:val="00885C7A"/>
    <w:rsid w:val="008A3313"/>
    <w:rsid w:val="008A6847"/>
    <w:rsid w:val="008B05DA"/>
    <w:rsid w:val="008B6042"/>
    <w:rsid w:val="008B7BC6"/>
    <w:rsid w:val="008D3E0C"/>
    <w:rsid w:val="008E7AC3"/>
    <w:rsid w:val="008F5A79"/>
    <w:rsid w:val="008F6A08"/>
    <w:rsid w:val="009047BE"/>
    <w:rsid w:val="00912987"/>
    <w:rsid w:val="0093372C"/>
    <w:rsid w:val="00935A9B"/>
    <w:rsid w:val="00940002"/>
    <w:rsid w:val="00951E27"/>
    <w:rsid w:val="00956B13"/>
    <w:rsid w:val="0096786D"/>
    <w:rsid w:val="00967C90"/>
    <w:rsid w:val="0097238B"/>
    <w:rsid w:val="0099156D"/>
    <w:rsid w:val="0099392B"/>
    <w:rsid w:val="0099717A"/>
    <w:rsid w:val="009A0211"/>
    <w:rsid w:val="009C5621"/>
    <w:rsid w:val="009D6B69"/>
    <w:rsid w:val="009D78E0"/>
    <w:rsid w:val="009D7E80"/>
    <w:rsid w:val="009F787A"/>
    <w:rsid w:val="00A02556"/>
    <w:rsid w:val="00A20FF3"/>
    <w:rsid w:val="00A307D3"/>
    <w:rsid w:val="00A32FB8"/>
    <w:rsid w:val="00A41625"/>
    <w:rsid w:val="00A41B74"/>
    <w:rsid w:val="00A4434F"/>
    <w:rsid w:val="00A55680"/>
    <w:rsid w:val="00A55762"/>
    <w:rsid w:val="00A6271D"/>
    <w:rsid w:val="00A638F4"/>
    <w:rsid w:val="00A65A67"/>
    <w:rsid w:val="00A81C8D"/>
    <w:rsid w:val="00A83DE0"/>
    <w:rsid w:val="00A851DC"/>
    <w:rsid w:val="00A93DAB"/>
    <w:rsid w:val="00AA2A23"/>
    <w:rsid w:val="00AA3DA4"/>
    <w:rsid w:val="00AA5011"/>
    <w:rsid w:val="00AA594C"/>
    <w:rsid w:val="00AA6518"/>
    <w:rsid w:val="00AA78C1"/>
    <w:rsid w:val="00AB1BB8"/>
    <w:rsid w:val="00AC08CD"/>
    <w:rsid w:val="00AC12F9"/>
    <w:rsid w:val="00AE1237"/>
    <w:rsid w:val="00AE2D41"/>
    <w:rsid w:val="00AF293A"/>
    <w:rsid w:val="00AF3F62"/>
    <w:rsid w:val="00B15101"/>
    <w:rsid w:val="00B152D5"/>
    <w:rsid w:val="00B17A68"/>
    <w:rsid w:val="00B23CCB"/>
    <w:rsid w:val="00B368F1"/>
    <w:rsid w:val="00B41EFC"/>
    <w:rsid w:val="00B449BE"/>
    <w:rsid w:val="00B474E3"/>
    <w:rsid w:val="00B723C8"/>
    <w:rsid w:val="00B75CE3"/>
    <w:rsid w:val="00B81ED6"/>
    <w:rsid w:val="00B83E58"/>
    <w:rsid w:val="00B85F8C"/>
    <w:rsid w:val="00B93C8C"/>
    <w:rsid w:val="00BA65FB"/>
    <w:rsid w:val="00BB58B0"/>
    <w:rsid w:val="00BD1D23"/>
    <w:rsid w:val="00BD6A82"/>
    <w:rsid w:val="00BE0F49"/>
    <w:rsid w:val="00C01EA2"/>
    <w:rsid w:val="00C16B9B"/>
    <w:rsid w:val="00C219AF"/>
    <w:rsid w:val="00C24EB5"/>
    <w:rsid w:val="00C27161"/>
    <w:rsid w:val="00C408D3"/>
    <w:rsid w:val="00C40D18"/>
    <w:rsid w:val="00C45CE2"/>
    <w:rsid w:val="00C52054"/>
    <w:rsid w:val="00C710F1"/>
    <w:rsid w:val="00C71315"/>
    <w:rsid w:val="00C73777"/>
    <w:rsid w:val="00C74A19"/>
    <w:rsid w:val="00C80925"/>
    <w:rsid w:val="00C84FCA"/>
    <w:rsid w:val="00C8799D"/>
    <w:rsid w:val="00C9012C"/>
    <w:rsid w:val="00C92F90"/>
    <w:rsid w:val="00C967BD"/>
    <w:rsid w:val="00C97B09"/>
    <w:rsid w:val="00CA60FC"/>
    <w:rsid w:val="00CB3013"/>
    <w:rsid w:val="00CB7906"/>
    <w:rsid w:val="00CC531E"/>
    <w:rsid w:val="00CD045B"/>
    <w:rsid w:val="00CD6035"/>
    <w:rsid w:val="00CE0E1E"/>
    <w:rsid w:val="00CE6698"/>
    <w:rsid w:val="00CF3469"/>
    <w:rsid w:val="00D01B8C"/>
    <w:rsid w:val="00D03761"/>
    <w:rsid w:val="00D04BCA"/>
    <w:rsid w:val="00D14E06"/>
    <w:rsid w:val="00D23E98"/>
    <w:rsid w:val="00D27809"/>
    <w:rsid w:val="00D328E7"/>
    <w:rsid w:val="00D567F0"/>
    <w:rsid w:val="00D60FE7"/>
    <w:rsid w:val="00D65185"/>
    <w:rsid w:val="00D76791"/>
    <w:rsid w:val="00D83E73"/>
    <w:rsid w:val="00D85559"/>
    <w:rsid w:val="00D8762E"/>
    <w:rsid w:val="00D93158"/>
    <w:rsid w:val="00D94AEE"/>
    <w:rsid w:val="00DA1C06"/>
    <w:rsid w:val="00DB3ABF"/>
    <w:rsid w:val="00DE0823"/>
    <w:rsid w:val="00DE1DE7"/>
    <w:rsid w:val="00DF39DE"/>
    <w:rsid w:val="00DF6A38"/>
    <w:rsid w:val="00E106A8"/>
    <w:rsid w:val="00E2514A"/>
    <w:rsid w:val="00E31CF3"/>
    <w:rsid w:val="00E32ED1"/>
    <w:rsid w:val="00E34A8B"/>
    <w:rsid w:val="00E565BA"/>
    <w:rsid w:val="00E66253"/>
    <w:rsid w:val="00E80D96"/>
    <w:rsid w:val="00E85782"/>
    <w:rsid w:val="00E90DEB"/>
    <w:rsid w:val="00E91E3F"/>
    <w:rsid w:val="00E958A2"/>
    <w:rsid w:val="00E95F9C"/>
    <w:rsid w:val="00EF4938"/>
    <w:rsid w:val="00EF67DB"/>
    <w:rsid w:val="00EF7125"/>
    <w:rsid w:val="00F121FF"/>
    <w:rsid w:val="00F14E1B"/>
    <w:rsid w:val="00F16FDA"/>
    <w:rsid w:val="00F214A8"/>
    <w:rsid w:val="00F4335B"/>
    <w:rsid w:val="00F57A10"/>
    <w:rsid w:val="00F6132E"/>
    <w:rsid w:val="00F649C0"/>
    <w:rsid w:val="00F70457"/>
    <w:rsid w:val="00F8254A"/>
    <w:rsid w:val="00F879BA"/>
    <w:rsid w:val="00F87B88"/>
    <w:rsid w:val="00F90FA2"/>
    <w:rsid w:val="00F9522D"/>
    <w:rsid w:val="00FA0237"/>
    <w:rsid w:val="00FB0DCC"/>
    <w:rsid w:val="00FB21C8"/>
    <w:rsid w:val="00FB2B02"/>
    <w:rsid w:val="00FB3E57"/>
    <w:rsid w:val="00FD0B9E"/>
    <w:rsid w:val="00FE2915"/>
    <w:rsid w:val="00FE2E73"/>
    <w:rsid w:val="00FE7440"/>
    <w:rsid w:val="00FF00D0"/>
    <w:rsid w:val="00FF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E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699">
    <w:name w:val="Style41699"/>
    <w:basedOn w:val="a"/>
    <w:rsid w:val="001534E8"/>
    <w:pPr>
      <w:spacing w:after="0" w:line="267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774">
    <w:name w:val="Style41774"/>
    <w:basedOn w:val="a"/>
    <w:rsid w:val="0015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550">
    <w:name w:val="Style41550"/>
    <w:basedOn w:val="a"/>
    <w:rsid w:val="001534E8"/>
    <w:pPr>
      <w:spacing w:after="0" w:line="254" w:lineRule="exact"/>
      <w:ind w:firstLine="576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220A2C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88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E8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699">
    <w:name w:val="Style41699"/>
    <w:basedOn w:val="a"/>
    <w:rsid w:val="001534E8"/>
    <w:pPr>
      <w:spacing w:after="0" w:line="267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774">
    <w:name w:val="Style41774"/>
    <w:basedOn w:val="a"/>
    <w:rsid w:val="00153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1550">
    <w:name w:val="Style41550"/>
    <w:basedOn w:val="a"/>
    <w:rsid w:val="001534E8"/>
    <w:pPr>
      <w:spacing w:after="0" w:line="254" w:lineRule="exact"/>
      <w:ind w:firstLine="576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220A2C"/>
    <w:pPr>
      <w:spacing w:after="0" w:line="240" w:lineRule="auto"/>
    </w:pPr>
    <w:rPr>
      <w:rFonts w:eastAsiaTheme="minorEastAsia"/>
      <w:lang w:val="ru-RU" w:eastAsia="ru-RU"/>
    </w:rPr>
  </w:style>
  <w:style w:type="table" w:styleId="a4">
    <w:name w:val="Table Grid"/>
    <w:basedOn w:val="a1"/>
    <w:uiPriority w:val="59"/>
    <w:rsid w:val="00883E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6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9650</Words>
  <Characters>5501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4</cp:revision>
  <dcterms:created xsi:type="dcterms:W3CDTF">2013-04-04T13:13:00Z</dcterms:created>
  <dcterms:modified xsi:type="dcterms:W3CDTF">2013-04-04T14:09:00Z</dcterms:modified>
</cp:coreProperties>
</file>